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BAD10" w14:textId="670F7F2C" w:rsidR="006D511F" w:rsidRPr="0059550D" w:rsidRDefault="008A51DC" w:rsidP="008A51DC">
      <w:pPr>
        <w:pStyle w:val="Title"/>
        <w:rPr>
          <w:lang w:val="en-IE"/>
        </w:rPr>
      </w:pPr>
      <w:bookmarkStart w:id="0" w:name="_GoBack"/>
      <w:bookmarkEnd w:id="0"/>
      <w:r w:rsidRPr="0059550D">
        <w:rPr>
          <w:lang w:val="en-IE"/>
        </w:rPr>
        <w:t xml:space="preserve">eForms </w:t>
      </w:r>
      <w:r w:rsidR="003863F5" w:rsidRPr="0059550D">
        <w:rPr>
          <w:lang w:val="en-IE"/>
        </w:rPr>
        <w:t>P</w:t>
      </w:r>
      <w:r w:rsidRPr="0059550D">
        <w:rPr>
          <w:lang w:val="en-IE"/>
        </w:rPr>
        <w:t xml:space="preserve">olicy </w:t>
      </w:r>
      <w:r w:rsidR="003863F5" w:rsidRPr="0059550D">
        <w:rPr>
          <w:lang w:val="en-IE"/>
        </w:rPr>
        <w:t>I</w:t>
      </w:r>
      <w:r w:rsidRPr="0059550D">
        <w:rPr>
          <w:lang w:val="en-IE"/>
        </w:rPr>
        <w:t xml:space="preserve">mplementation </w:t>
      </w:r>
      <w:r w:rsidR="003863F5" w:rsidRPr="0059550D">
        <w:rPr>
          <w:lang w:val="en-IE"/>
        </w:rPr>
        <w:t>H</w:t>
      </w:r>
      <w:r w:rsidRPr="0059550D">
        <w:rPr>
          <w:lang w:val="en-IE"/>
        </w:rPr>
        <w:t>andbook</w:t>
      </w:r>
      <w:r w:rsidR="00CA5BBE" w:rsidRPr="0059550D">
        <w:rPr>
          <w:lang w:val="en-IE"/>
        </w:rPr>
        <w:t xml:space="preserve"> </w:t>
      </w:r>
    </w:p>
    <w:sdt>
      <w:sdtPr>
        <w:rPr>
          <w:rFonts w:asciiTheme="minorHAnsi" w:eastAsiaTheme="minorHAnsi" w:hAnsiTheme="minorHAnsi" w:cstheme="minorBidi"/>
          <w:color w:val="auto"/>
          <w:sz w:val="22"/>
          <w:szCs w:val="22"/>
          <w:lang w:val="en-IE"/>
        </w:rPr>
        <w:id w:val="-201944251"/>
        <w:docPartObj>
          <w:docPartGallery w:val="Table of Contents"/>
          <w:docPartUnique/>
        </w:docPartObj>
      </w:sdtPr>
      <w:sdtEndPr>
        <w:rPr>
          <w:b/>
          <w:bCs/>
          <w:noProof/>
        </w:rPr>
      </w:sdtEndPr>
      <w:sdtContent>
        <w:p w14:paraId="6D2EEC65" w14:textId="3ACDE2E5" w:rsidR="006D511F" w:rsidRPr="0059550D" w:rsidRDefault="006D511F">
          <w:pPr>
            <w:pStyle w:val="TOCHeading"/>
            <w:rPr>
              <w:lang w:val="en-IE"/>
            </w:rPr>
          </w:pPr>
          <w:r w:rsidRPr="0059550D">
            <w:rPr>
              <w:lang w:val="en-IE"/>
            </w:rPr>
            <w:t>Contents</w:t>
          </w:r>
        </w:p>
        <w:p w14:paraId="19A0BDB8" w14:textId="1418B6DA" w:rsidR="006A44FB" w:rsidRDefault="006D511F">
          <w:pPr>
            <w:pStyle w:val="TOC1"/>
            <w:rPr>
              <w:rFonts w:eastAsiaTheme="minorEastAsia"/>
              <w:noProof/>
              <w:lang w:val="it-IT" w:eastAsia="it-IT"/>
            </w:rPr>
          </w:pPr>
          <w:r w:rsidRPr="0059550D">
            <w:rPr>
              <w:lang w:val="en-IE"/>
            </w:rPr>
            <w:fldChar w:fldCharType="begin"/>
          </w:r>
          <w:r w:rsidRPr="0059550D">
            <w:rPr>
              <w:lang w:val="en-IE"/>
            </w:rPr>
            <w:instrText xml:space="preserve"> TOC \o "1-3" \h \z \u </w:instrText>
          </w:r>
          <w:r w:rsidRPr="0059550D">
            <w:rPr>
              <w:lang w:val="en-IE"/>
            </w:rPr>
            <w:fldChar w:fldCharType="separate"/>
          </w:r>
          <w:hyperlink w:anchor="_Toc25684057" w:history="1">
            <w:r w:rsidR="006A44FB" w:rsidRPr="00086952">
              <w:rPr>
                <w:rStyle w:val="Hyperlink"/>
                <w:noProof/>
                <w:lang w:val="en-IE"/>
              </w:rPr>
              <w:t>Executive summary</w:t>
            </w:r>
            <w:r w:rsidR="006A44FB">
              <w:rPr>
                <w:noProof/>
                <w:webHidden/>
              </w:rPr>
              <w:tab/>
            </w:r>
            <w:r w:rsidR="006A44FB">
              <w:rPr>
                <w:noProof/>
                <w:webHidden/>
              </w:rPr>
              <w:fldChar w:fldCharType="begin"/>
            </w:r>
            <w:r w:rsidR="006A44FB">
              <w:rPr>
                <w:noProof/>
                <w:webHidden/>
              </w:rPr>
              <w:instrText xml:space="preserve"> PAGEREF _Toc25684057 \h </w:instrText>
            </w:r>
            <w:r w:rsidR="006A44FB">
              <w:rPr>
                <w:noProof/>
                <w:webHidden/>
              </w:rPr>
            </w:r>
            <w:r w:rsidR="006A44FB">
              <w:rPr>
                <w:noProof/>
                <w:webHidden/>
              </w:rPr>
              <w:fldChar w:fldCharType="separate"/>
            </w:r>
            <w:r w:rsidR="006A44FB">
              <w:rPr>
                <w:noProof/>
                <w:webHidden/>
              </w:rPr>
              <w:t>2</w:t>
            </w:r>
            <w:r w:rsidR="006A44FB">
              <w:rPr>
                <w:noProof/>
                <w:webHidden/>
              </w:rPr>
              <w:fldChar w:fldCharType="end"/>
            </w:r>
          </w:hyperlink>
        </w:p>
        <w:p w14:paraId="469AFDDB" w14:textId="560F1E80" w:rsidR="006A44FB" w:rsidRDefault="00B70B29">
          <w:pPr>
            <w:pStyle w:val="TOC1"/>
            <w:rPr>
              <w:rFonts w:eastAsiaTheme="minorEastAsia"/>
              <w:noProof/>
              <w:lang w:val="it-IT" w:eastAsia="it-IT"/>
            </w:rPr>
          </w:pPr>
          <w:hyperlink w:anchor="_Toc25684058" w:history="1">
            <w:r w:rsidR="006A44FB" w:rsidRPr="00086952">
              <w:rPr>
                <w:rStyle w:val="Hyperlink"/>
                <w:noProof/>
                <w:lang w:val="en-IE"/>
              </w:rPr>
              <w:t>1</w:t>
            </w:r>
            <w:r w:rsidR="006A44FB">
              <w:rPr>
                <w:rFonts w:eastAsiaTheme="minorEastAsia"/>
                <w:noProof/>
                <w:lang w:val="it-IT" w:eastAsia="it-IT"/>
              </w:rPr>
              <w:tab/>
            </w:r>
            <w:r w:rsidR="006A44FB" w:rsidRPr="00086952">
              <w:rPr>
                <w:rStyle w:val="Hyperlink"/>
                <w:noProof/>
                <w:lang w:val="en-IE"/>
              </w:rPr>
              <w:t>Using this handbook</w:t>
            </w:r>
            <w:r w:rsidR="006A44FB">
              <w:rPr>
                <w:noProof/>
                <w:webHidden/>
              </w:rPr>
              <w:tab/>
            </w:r>
            <w:r w:rsidR="006A44FB">
              <w:rPr>
                <w:noProof/>
                <w:webHidden/>
              </w:rPr>
              <w:fldChar w:fldCharType="begin"/>
            </w:r>
            <w:r w:rsidR="006A44FB">
              <w:rPr>
                <w:noProof/>
                <w:webHidden/>
              </w:rPr>
              <w:instrText xml:space="preserve"> PAGEREF _Toc25684058 \h </w:instrText>
            </w:r>
            <w:r w:rsidR="006A44FB">
              <w:rPr>
                <w:noProof/>
                <w:webHidden/>
              </w:rPr>
            </w:r>
            <w:r w:rsidR="006A44FB">
              <w:rPr>
                <w:noProof/>
                <w:webHidden/>
              </w:rPr>
              <w:fldChar w:fldCharType="separate"/>
            </w:r>
            <w:r w:rsidR="006A44FB">
              <w:rPr>
                <w:noProof/>
                <w:webHidden/>
              </w:rPr>
              <w:t>4</w:t>
            </w:r>
            <w:r w:rsidR="006A44FB">
              <w:rPr>
                <w:noProof/>
                <w:webHidden/>
              </w:rPr>
              <w:fldChar w:fldCharType="end"/>
            </w:r>
          </w:hyperlink>
        </w:p>
        <w:p w14:paraId="4309955F" w14:textId="51F04E2B" w:rsidR="006A44FB" w:rsidRDefault="00B70B29" w:rsidP="0060141A">
          <w:pPr>
            <w:pStyle w:val="TOC2"/>
            <w:rPr>
              <w:rFonts w:eastAsiaTheme="minorEastAsia"/>
              <w:noProof/>
              <w:lang w:val="it-IT" w:eastAsia="it-IT"/>
            </w:rPr>
          </w:pPr>
          <w:hyperlink w:anchor="_Toc25684059" w:history="1">
            <w:r w:rsidR="006A44FB" w:rsidRPr="00086952">
              <w:rPr>
                <w:rStyle w:val="Hyperlink"/>
                <w:noProof/>
              </w:rPr>
              <w:t>1.1</w:t>
            </w:r>
            <w:r w:rsidR="006A44FB">
              <w:rPr>
                <w:rFonts w:eastAsiaTheme="minorEastAsia"/>
                <w:noProof/>
                <w:lang w:val="it-IT" w:eastAsia="it-IT"/>
              </w:rPr>
              <w:tab/>
            </w:r>
            <w:r w:rsidR="006A44FB" w:rsidRPr="00086952">
              <w:rPr>
                <w:rStyle w:val="Hyperlink"/>
                <w:noProof/>
                <w:lang w:val="en-IE"/>
              </w:rPr>
              <w:t>Purpose &amp; Audience</w:t>
            </w:r>
            <w:r w:rsidR="006A44FB">
              <w:rPr>
                <w:noProof/>
                <w:webHidden/>
              </w:rPr>
              <w:tab/>
            </w:r>
            <w:r w:rsidR="006A44FB">
              <w:rPr>
                <w:noProof/>
                <w:webHidden/>
              </w:rPr>
              <w:fldChar w:fldCharType="begin"/>
            </w:r>
            <w:r w:rsidR="006A44FB">
              <w:rPr>
                <w:noProof/>
                <w:webHidden/>
              </w:rPr>
              <w:instrText xml:space="preserve"> PAGEREF _Toc25684059 \h </w:instrText>
            </w:r>
            <w:r w:rsidR="006A44FB">
              <w:rPr>
                <w:noProof/>
                <w:webHidden/>
              </w:rPr>
            </w:r>
            <w:r w:rsidR="006A44FB">
              <w:rPr>
                <w:noProof/>
                <w:webHidden/>
              </w:rPr>
              <w:fldChar w:fldCharType="separate"/>
            </w:r>
            <w:r w:rsidR="006A44FB">
              <w:rPr>
                <w:noProof/>
                <w:webHidden/>
              </w:rPr>
              <w:t>4</w:t>
            </w:r>
            <w:r w:rsidR="006A44FB">
              <w:rPr>
                <w:noProof/>
                <w:webHidden/>
              </w:rPr>
              <w:fldChar w:fldCharType="end"/>
            </w:r>
          </w:hyperlink>
        </w:p>
        <w:p w14:paraId="61B43D0B" w14:textId="76DF07F5" w:rsidR="006A44FB" w:rsidRDefault="00B70B29" w:rsidP="0060141A">
          <w:pPr>
            <w:pStyle w:val="TOC2"/>
            <w:rPr>
              <w:rFonts w:eastAsiaTheme="minorEastAsia"/>
              <w:noProof/>
              <w:lang w:val="it-IT" w:eastAsia="it-IT"/>
            </w:rPr>
          </w:pPr>
          <w:hyperlink w:anchor="_Toc25684060" w:history="1">
            <w:r w:rsidR="006A44FB" w:rsidRPr="00086952">
              <w:rPr>
                <w:rStyle w:val="Hyperlink"/>
                <w:noProof/>
              </w:rPr>
              <w:t>1.2</w:t>
            </w:r>
            <w:r w:rsidR="006A44FB">
              <w:rPr>
                <w:rFonts w:eastAsiaTheme="minorEastAsia"/>
                <w:noProof/>
                <w:lang w:val="it-IT" w:eastAsia="it-IT"/>
              </w:rPr>
              <w:tab/>
            </w:r>
            <w:r w:rsidR="006A44FB" w:rsidRPr="00086952">
              <w:rPr>
                <w:rStyle w:val="Hyperlink"/>
                <w:noProof/>
                <w:lang w:val="en-IE"/>
              </w:rPr>
              <w:t>Structure</w:t>
            </w:r>
            <w:r w:rsidR="006A44FB">
              <w:rPr>
                <w:noProof/>
                <w:webHidden/>
              </w:rPr>
              <w:tab/>
            </w:r>
            <w:r w:rsidR="006A44FB">
              <w:rPr>
                <w:noProof/>
                <w:webHidden/>
              </w:rPr>
              <w:fldChar w:fldCharType="begin"/>
            </w:r>
            <w:r w:rsidR="006A44FB">
              <w:rPr>
                <w:noProof/>
                <w:webHidden/>
              </w:rPr>
              <w:instrText xml:space="preserve"> PAGEREF _Toc25684060 \h </w:instrText>
            </w:r>
            <w:r w:rsidR="006A44FB">
              <w:rPr>
                <w:noProof/>
                <w:webHidden/>
              </w:rPr>
            </w:r>
            <w:r w:rsidR="006A44FB">
              <w:rPr>
                <w:noProof/>
                <w:webHidden/>
              </w:rPr>
              <w:fldChar w:fldCharType="separate"/>
            </w:r>
            <w:r w:rsidR="006A44FB">
              <w:rPr>
                <w:noProof/>
                <w:webHidden/>
              </w:rPr>
              <w:t>5</w:t>
            </w:r>
            <w:r w:rsidR="006A44FB">
              <w:rPr>
                <w:noProof/>
                <w:webHidden/>
              </w:rPr>
              <w:fldChar w:fldCharType="end"/>
            </w:r>
          </w:hyperlink>
        </w:p>
        <w:p w14:paraId="5A96BF89" w14:textId="0DE15CF8" w:rsidR="006A44FB" w:rsidRDefault="00B70B29" w:rsidP="0060141A">
          <w:pPr>
            <w:pStyle w:val="TOC2"/>
            <w:rPr>
              <w:rFonts w:eastAsiaTheme="minorEastAsia"/>
              <w:noProof/>
              <w:lang w:val="it-IT" w:eastAsia="it-IT"/>
            </w:rPr>
          </w:pPr>
          <w:hyperlink w:anchor="_Toc25684061" w:history="1">
            <w:r w:rsidR="006A44FB" w:rsidRPr="00086952">
              <w:rPr>
                <w:rStyle w:val="Hyperlink"/>
                <w:noProof/>
              </w:rPr>
              <w:t>1.3</w:t>
            </w:r>
            <w:r w:rsidR="006A44FB">
              <w:rPr>
                <w:rFonts w:eastAsiaTheme="minorEastAsia"/>
                <w:noProof/>
                <w:lang w:val="it-IT" w:eastAsia="it-IT"/>
              </w:rPr>
              <w:tab/>
            </w:r>
            <w:r w:rsidR="006A44FB" w:rsidRPr="00086952">
              <w:rPr>
                <w:rStyle w:val="Hyperlink"/>
                <w:noProof/>
                <w:lang w:val="en-IE"/>
              </w:rPr>
              <w:t>Terminology</w:t>
            </w:r>
            <w:r w:rsidR="006A44FB">
              <w:rPr>
                <w:noProof/>
                <w:webHidden/>
              </w:rPr>
              <w:tab/>
            </w:r>
            <w:r w:rsidR="006A44FB">
              <w:rPr>
                <w:noProof/>
                <w:webHidden/>
              </w:rPr>
              <w:fldChar w:fldCharType="begin"/>
            </w:r>
            <w:r w:rsidR="006A44FB">
              <w:rPr>
                <w:noProof/>
                <w:webHidden/>
              </w:rPr>
              <w:instrText xml:space="preserve"> PAGEREF _Toc25684061 \h </w:instrText>
            </w:r>
            <w:r w:rsidR="006A44FB">
              <w:rPr>
                <w:noProof/>
                <w:webHidden/>
              </w:rPr>
            </w:r>
            <w:r w:rsidR="006A44FB">
              <w:rPr>
                <w:noProof/>
                <w:webHidden/>
              </w:rPr>
              <w:fldChar w:fldCharType="separate"/>
            </w:r>
            <w:r w:rsidR="006A44FB">
              <w:rPr>
                <w:noProof/>
                <w:webHidden/>
              </w:rPr>
              <w:t>5</w:t>
            </w:r>
            <w:r w:rsidR="006A44FB">
              <w:rPr>
                <w:noProof/>
                <w:webHidden/>
              </w:rPr>
              <w:fldChar w:fldCharType="end"/>
            </w:r>
          </w:hyperlink>
        </w:p>
        <w:p w14:paraId="643EE43A" w14:textId="79C3C3A6" w:rsidR="006A44FB" w:rsidRDefault="00B70B29">
          <w:pPr>
            <w:pStyle w:val="TOC1"/>
            <w:rPr>
              <w:rFonts w:eastAsiaTheme="minorEastAsia"/>
              <w:noProof/>
              <w:lang w:val="it-IT" w:eastAsia="it-IT"/>
            </w:rPr>
          </w:pPr>
          <w:hyperlink w:anchor="_Toc25684062" w:history="1">
            <w:r w:rsidR="006A44FB" w:rsidRPr="00086952">
              <w:rPr>
                <w:rStyle w:val="Hyperlink"/>
                <w:rFonts w:eastAsia="Times New Roman"/>
                <w:noProof/>
                <w:lang w:val="en-IE"/>
              </w:rPr>
              <w:t>2</w:t>
            </w:r>
            <w:r w:rsidR="006A44FB">
              <w:rPr>
                <w:rFonts w:eastAsiaTheme="minorEastAsia"/>
                <w:noProof/>
                <w:lang w:val="it-IT" w:eastAsia="it-IT"/>
              </w:rPr>
              <w:tab/>
            </w:r>
            <w:r w:rsidR="006A44FB" w:rsidRPr="00086952">
              <w:rPr>
                <w:rStyle w:val="Hyperlink"/>
                <w:rFonts w:eastAsia="Times New Roman"/>
                <w:noProof/>
                <w:lang w:val="en-IE"/>
              </w:rPr>
              <w:t>Introduction to eForms</w:t>
            </w:r>
            <w:r w:rsidR="006A44FB">
              <w:rPr>
                <w:noProof/>
                <w:webHidden/>
              </w:rPr>
              <w:tab/>
            </w:r>
            <w:r w:rsidR="006A44FB">
              <w:rPr>
                <w:noProof/>
                <w:webHidden/>
              </w:rPr>
              <w:fldChar w:fldCharType="begin"/>
            </w:r>
            <w:r w:rsidR="006A44FB">
              <w:rPr>
                <w:noProof/>
                <w:webHidden/>
              </w:rPr>
              <w:instrText xml:space="preserve"> PAGEREF _Toc25684062 \h </w:instrText>
            </w:r>
            <w:r w:rsidR="006A44FB">
              <w:rPr>
                <w:noProof/>
                <w:webHidden/>
              </w:rPr>
            </w:r>
            <w:r w:rsidR="006A44FB">
              <w:rPr>
                <w:noProof/>
                <w:webHidden/>
              </w:rPr>
              <w:fldChar w:fldCharType="separate"/>
            </w:r>
            <w:r w:rsidR="006A44FB">
              <w:rPr>
                <w:noProof/>
                <w:webHidden/>
              </w:rPr>
              <w:t>6</w:t>
            </w:r>
            <w:r w:rsidR="006A44FB">
              <w:rPr>
                <w:noProof/>
                <w:webHidden/>
              </w:rPr>
              <w:fldChar w:fldCharType="end"/>
            </w:r>
          </w:hyperlink>
        </w:p>
        <w:p w14:paraId="5BC66FC4" w14:textId="227F8464" w:rsidR="006A44FB" w:rsidRDefault="00B70B29" w:rsidP="0060141A">
          <w:pPr>
            <w:pStyle w:val="TOC2"/>
            <w:rPr>
              <w:rFonts w:eastAsiaTheme="minorEastAsia"/>
              <w:noProof/>
              <w:lang w:val="it-IT" w:eastAsia="it-IT"/>
            </w:rPr>
          </w:pPr>
          <w:hyperlink w:anchor="_Toc25684063" w:history="1">
            <w:r w:rsidR="006A44FB" w:rsidRPr="00086952">
              <w:rPr>
                <w:rStyle w:val="Hyperlink"/>
                <w:noProof/>
              </w:rPr>
              <w:t>2.1</w:t>
            </w:r>
            <w:r w:rsidR="006A44FB">
              <w:rPr>
                <w:rFonts w:eastAsiaTheme="minorEastAsia"/>
                <w:noProof/>
                <w:lang w:val="it-IT" w:eastAsia="it-IT"/>
              </w:rPr>
              <w:tab/>
            </w:r>
            <w:r w:rsidR="006A44FB" w:rsidRPr="00086952">
              <w:rPr>
                <w:rStyle w:val="Hyperlink"/>
                <w:noProof/>
                <w:lang w:val="en-IE"/>
              </w:rPr>
              <w:t>eNotification</w:t>
            </w:r>
            <w:r w:rsidR="006A44FB">
              <w:rPr>
                <w:noProof/>
                <w:webHidden/>
              </w:rPr>
              <w:tab/>
            </w:r>
            <w:r w:rsidR="006A44FB">
              <w:rPr>
                <w:noProof/>
                <w:webHidden/>
              </w:rPr>
              <w:fldChar w:fldCharType="begin"/>
            </w:r>
            <w:r w:rsidR="006A44FB">
              <w:rPr>
                <w:noProof/>
                <w:webHidden/>
              </w:rPr>
              <w:instrText xml:space="preserve"> PAGEREF _Toc25684063 \h </w:instrText>
            </w:r>
            <w:r w:rsidR="006A44FB">
              <w:rPr>
                <w:noProof/>
                <w:webHidden/>
              </w:rPr>
            </w:r>
            <w:r w:rsidR="006A44FB">
              <w:rPr>
                <w:noProof/>
                <w:webHidden/>
              </w:rPr>
              <w:fldChar w:fldCharType="separate"/>
            </w:r>
            <w:r w:rsidR="006A44FB">
              <w:rPr>
                <w:noProof/>
                <w:webHidden/>
              </w:rPr>
              <w:t>7</w:t>
            </w:r>
            <w:r w:rsidR="006A44FB">
              <w:rPr>
                <w:noProof/>
                <w:webHidden/>
              </w:rPr>
              <w:fldChar w:fldCharType="end"/>
            </w:r>
          </w:hyperlink>
        </w:p>
        <w:p w14:paraId="66BAA537" w14:textId="32F2044F" w:rsidR="006A44FB" w:rsidRDefault="00B70B29" w:rsidP="0060141A">
          <w:pPr>
            <w:pStyle w:val="TOC2"/>
            <w:rPr>
              <w:rFonts w:eastAsiaTheme="minorEastAsia"/>
              <w:noProof/>
              <w:lang w:val="it-IT" w:eastAsia="it-IT"/>
            </w:rPr>
          </w:pPr>
          <w:hyperlink w:anchor="_Toc25684064" w:history="1">
            <w:r w:rsidR="006A44FB" w:rsidRPr="00086952">
              <w:rPr>
                <w:rStyle w:val="Hyperlink"/>
                <w:noProof/>
              </w:rPr>
              <w:t>2.2</w:t>
            </w:r>
            <w:r w:rsidR="006A44FB">
              <w:rPr>
                <w:rFonts w:eastAsiaTheme="minorEastAsia"/>
                <w:noProof/>
                <w:lang w:val="it-IT" w:eastAsia="it-IT"/>
              </w:rPr>
              <w:tab/>
            </w:r>
            <w:r w:rsidR="006A44FB" w:rsidRPr="00086952">
              <w:rPr>
                <w:rStyle w:val="Hyperlink"/>
                <w:noProof/>
                <w:lang w:val="en-IE"/>
              </w:rPr>
              <w:t>Users</w:t>
            </w:r>
            <w:r w:rsidR="006A44FB">
              <w:rPr>
                <w:noProof/>
                <w:webHidden/>
              </w:rPr>
              <w:tab/>
            </w:r>
            <w:r w:rsidR="006A44FB">
              <w:rPr>
                <w:noProof/>
                <w:webHidden/>
              </w:rPr>
              <w:fldChar w:fldCharType="begin"/>
            </w:r>
            <w:r w:rsidR="006A44FB">
              <w:rPr>
                <w:noProof/>
                <w:webHidden/>
              </w:rPr>
              <w:instrText xml:space="preserve"> PAGEREF _Toc25684064 \h </w:instrText>
            </w:r>
            <w:r w:rsidR="006A44FB">
              <w:rPr>
                <w:noProof/>
                <w:webHidden/>
              </w:rPr>
            </w:r>
            <w:r w:rsidR="006A44FB">
              <w:rPr>
                <w:noProof/>
                <w:webHidden/>
              </w:rPr>
              <w:fldChar w:fldCharType="separate"/>
            </w:r>
            <w:r w:rsidR="006A44FB">
              <w:rPr>
                <w:noProof/>
                <w:webHidden/>
              </w:rPr>
              <w:t>7</w:t>
            </w:r>
            <w:r w:rsidR="006A44FB">
              <w:rPr>
                <w:noProof/>
                <w:webHidden/>
              </w:rPr>
              <w:fldChar w:fldCharType="end"/>
            </w:r>
          </w:hyperlink>
        </w:p>
        <w:p w14:paraId="21612837" w14:textId="53287C66" w:rsidR="006A44FB" w:rsidRDefault="00B70B29">
          <w:pPr>
            <w:pStyle w:val="TOC3"/>
            <w:rPr>
              <w:rFonts w:eastAsiaTheme="minorEastAsia"/>
              <w:noProof/>
              <w:lang w:val="it-IT" w:eastAsia="it-IT"/>
            </w:rPr>
          </w:pPr>
          <w:hyperlink w:anchor="_Toc25684065" w:history="1">
            <w:r w:rsidR="006A44FB" w:rsidRPr="00086952">
              <w:rPr>
                <w:rStyle w:val="Hyperlink"/>
                <w:noProof/>
                <w:lang w:val="en-IE"/>
              </w:rPr>
              <w:t>2.2.1</w:t>
            </w:r>
            <w:r w:rsidR="006A44FB">
              <w:rPr>
                <w:rFonts w:eastAsiaTheme="minorEastAsia"/>
                <w:noProof/>
                <w:lang w:val="it-IT" w:eastAsia="it-IT"/>
              </w:rPr>
              <w:tab/>
            </w:r>
            <w:r w:rsidR="006A44FB" w:rsidRPr="00086952">
              <w:rPr>
                <w:rStyle w:val="Hyperlink"/>
                <w:noProof/>
                <w:lang w:val="en-IE"/>
              </w:rPr>
              <w:t>Economic operators</w:t>
            </w:r>
            <w:r w:rsidR="006A44FB">
              <w:rPr>
                <w:noProof/>
                <w:webHidden/>
              </w:rPr>
              <w:tab/>
            </w:r>
            <w:r w:rsidR="006A44FB">
              <w:rPr>
                <w:noProof/>
                <w:webHidden/>
              </w:rPr>
              <w:fldChar w:fldCharType="begin"/>
            </w:r>
            <w:r w:rsidR="006A44FB">
              <w:rPr>
                <w:noProof/>
                <w:webHidden/>
              </w:rPr>
              <w:instrText xml:space="preserve"> PAGEREF _Toc25684065 \h </w:instrText>
            </w:r>
            <w:r w:rsidR="006A44FB">
              <w:rPr>
                <w:noProof/>
                <w:webHidden/>
              </w:rPr>
            </w:r>
            <w:r w:rsidR="006A44FB">
              <w:rPr>
                <w:noProof/>
                <w:webHidden/>
              </w:rPr>
              <w:fldChar w:fldCharType="separate"/>
            </w:r>
            <w:r w:rsidR="006A44FB">
              <w:rPr>
                <w:noProof/>
                <w:webHidden/>
              </w:rPr>
              <w:t>7</w:t>
            </w:r>
            <w:r w:rsidR="006A44FB">
              <w:rPr>
                <w:noProof/>
                <w:webHidden/>
              </w:rPr>
              <w:fldChar w:fldCharType="end"/>
            </w:r>
          </w:hyperlink>
        </w:p>
        <w:p w14:paraId="27509BC6" w14:textId="0045F77B" w:rsidR="006A44FB" w:rsidRDefault="00B70B29">
          <w:pPr>
            <w:pStyle w:val="TOC3"/>
            <w:rPr>
              <w:rFonts w:eastAsiaTheme="minorEastAsia"/>
              <w:noProof/>
              <w:lang w:val="it-IT" w:eastAsia="it-IT"/>
            </w:rPr>
          </w:pPr>
          <w:hyperlink w:anchor="_Toc25684066" w:history="1">
            <w:r w:rsidR="006A44FB" w:rsidRPr="00086952">
              <w:rPr>
                <w:rStyle w:val="Hyperlink"/>
                <w:noProof/>
                <w:lang w:val="en-IE"/>
              </w:rPr>
              <w:t>2.2.2</w:t>
            </w:r>
            <w:r w:rsidR="006A44FB">
              <w:rPr>
                <w:rFonts w:eastAsiaTheme="minorEastAsia"/>
                <w:noProof/>
                <w:lang w:val="it-IT" w:eastAsia="it-IT"/>
              </w:rPr>
              <w:tab/>
            </w:r>
            <w:r w:rsidR="006A44FB" w:rsidRPr="00086952">
              <w:rPr>
                <w:rStyle w:val="Hyperlink"/>
                <w:noProof/>
                <w:lang w:val="en-IE"/>
              </w:rPr>
              <w:t>Buyers</w:t>
            </w:r>
            <w:r w:rsidR="006A44FB">
              <w:rPr>
                <w:noProof/>
                <w:webHidden/>
              </w:rPr>
              <w:tab/>
            </w:r>
            <w:r w:rsidR="006A44FB">
              <w:rPr>
                <w:noProof/>
                <w:webHidden/>
              </w:rPr>
              <w:fldChar w:fldCharType="begin"/>
            </w:r>
            <w:r w:rsidR="006A44FB">
              <w:rPr>
                <w:noProof/>
                <w:webHidden/>
              </w:rPr>
              <w:instrText xml:space="preserve"> PAGEREF _Toc25684066 \h </w:instrText>
            </w:r>
            <w:r w:rsidR="006A44FB">
              <w:rPr>
                <w:noProof/>
                <w:webHidden/>
              </w:rPr>
            </w:r>
            <w:r w:rsidR="006A44FB">
              <w:rPr>
                <w:noProof/>
                <w:webHidden/>
              </w:rPr>
              <w:fldChar w:fldCharType="separate"/>
            </w:r>
            <w:r w:rsidR="006A44FB">
              <w:rPr>
                <w:noProof/>
                <w:webHidden/>
              </w:rPr>
              <w:t>8</w:t>
            </w:r>
            <w:r w:rsidR="006A44FB">
              <w:rPr>
                <w:noProof/>
                <w:webHidden/>
              </w:rPr>
              <w:fldChar w:fldCharType="end"/>
            </w:r>
          </w:hyperlink>
        </w:p>
        <w:p w14:paraId="5A74D3F1" w14:textId="6B625F4E" w:rsidR="006A44FB" w:rsidRDefault="00B70B29">
          <w:pPr>
            <w:pStyle w:val="TOC3"/>
            <w:rPr>
              <w:rFonts w:eastAsiaTheme="minorEastAsia"/>
              <w:noProof/>
              <w:lang w:val="it-IT" w:eastAsia="it-IT"/>
            </w:rPr>
          </w:pPr>
          <w:hyperlink w:anchor="_Toc25684067" w:history="1">
            <w:r w:rsidR="006A44FB" w:rsidRPr="00086952">
              <w:rPr>
                <w:rStyle w:val="Hyperlink"/>
                <w:noProof/>
                <w:lang w:val="en-IE"/>
              </w:rPr>
              <w:t>2.2.3</w:t>
            </w:r>
            <w:r w:rsidR="006A44FB">
              <w:rPr>
                <w:rFonts w:eastAsiaTheme="minorEastAsia"/>
                <w:noProof/>
                <w:lang w:val="it-IT" w:eastAsia="it-IT"/>
              </w:rPr>
              <w:tab/>
            </w:r>
            <w:r w:rsidR="006A44FB" w:rsidRPr="00086952">
              <w:rPr>
                <w:rStyle w:val="Hyperlink"/>
                <w:noProof/>
                <w:lang w:val="en-IE"/>
              </w:rPr>
              <w:t>Government &amp; civil society</w:t>
            </w:r>
            <w:r w:rsidR="006A44FB">
              <w:rPr>
                <w:noProof/>
                <w:webHidden/>
              </w:rPr>
              <w:tab/>
            </w:r>
            <w:r w:rsidR="006A44FB">
              <w:rPr>
                <w:noProof/>
                <w:webHidden/>
              </w:rPr>
              <w:fldChar w:fldCharType="begin"/>
            </w:r>
            <w:r w:rsidR="006A44FB">
              <w:rPr>
                <w:noProof/>
                <w:webHidden/>
              </w:rPr>
              <w:instrText xml:space="preserve"> PAGEREF _Toc25684067 \h </w:instrText>
            </w:r>
            <w:r w:rsidR="006A44FB">
              <w:rPr>
                <w:noProof/>
                <w:webHidden/>
              </w:rPr>
            </w:r>
            <w:r w:rsidR="006A44FB">
              <w:rPr>
                <w:noProof/>
                <w:webHidden/>
              </w:rPr>
              <w:fldChar w:fldCharType="separate"/>
            </w:r>
            <w:r w:rsidR="006A44FB">
              <w:rPr>
                <w:noProof/>
                <w:webHidden/>
              </w:rPr>
              <w:t>9</w:t>
            </w:r>
            <w:r w:rsidR="006A44FB">
              <w:rPr>
                <w:noProof/>
                <w:webHidden/>
              </w:rPr>
              <w:fldChar w:fldCharType="end"/>
            </w:r>
          </w:hyperlink>
        </w:p>
        <w:p w14:paraId="4EF3BCA9" w14:textId="644DEED8" w:rsidR="006A44FB" w:rsidRDefault="00B70B29">
          <w:pPr>
            <w:pStyle w:val="TOC3"/>
            <w:rPr>
              <w:rFonts w:eastAsiaTheme="minorEastAsia"/>
              <w:noProof/>
              <w:lang w:val="it-IT" w:eastAsia="it-IT"/>
            </w:rPr>
          </w:pPr>
          <w:hyperlink w:anchor="_Toc25684068" w:history="1">
            <w:r w:rsidR="006A44FB" w:rsidRPr="00086952">
              <w:rPr>
                <w:rStyle w:val="Hyperlink"/>
                <w:noProof/>
                <w:lang w:val="en-IE"/>
              </w:rPr>
              <w:t>2.2.4</w:t>
            </w:r>
            <w:r w:rsidR="006A44FB">
              <w:rPr>
                <w:rFonts w:eastAsiaTheme="minorEastAsia"/>
                <w:noProof/>
                <w:lang w:val="it-IT" w:eastAsia="it-IT"/>
              </w:rPr>
              <w:tab/>
            </w:r>
            <w:r w:rsidR="006A44FB" w:rsidRPr="00086952">
              <w:rPr>
                <w:rStyle w:val="Hyperlink"/>
                <w:noProof/>
                <w:lang w:val="en-IE"/>
              </w:rPr>
              <w:t>Notice senders &amp; publishers</w:t>
            </w:r>
            <w:r w:rsidR="006A44FB">
              <w:rPr>
                <w:noProof/>
                <w:webHidden/>
              </w:rPr>
              <w:tab/>
            </w:r>
            <w:r w:rsidR="006A44FB">
              <w:rPr>
                <w:noProof/>
                <w:webHidden/>
              </w:rPr>
              <w:fldChar w:fldCharType="begin"/>
            </w:r>
            <w:r w:rsidR="006A44FB">
              <w:rPr>
                <w:noProof/>
                <w:webHidden/>
              </w:rPr>
              <w:instrText xml:space="preserve"> PAGEREF _Toc25684068 \h </w:instrText>
            </w:r>
            <w:r w:rsidR="006A44FB">
              <w:rPr>
                <w:noProof/>
                <w:webHidden/>
              </w:rPr>
            </w:r>
            <w:r w:rsidR="006A44FB">
              <w:rPr>
                <w:noProof/>
                <w:webHidden/>
              </w:rPr>
              <w:fldChar w:fldCharType="separate"/>
            </w:r>
            <w:r w:rsidR="006A44FB">
              <w:rPr>
                <w:noProof/>
                <w:webHidden/>
              </w:rPr>
              <w:t>10</w:t>
            </w:r>
            <w:r w:rsidR="006A44FB">
              <w:rPr>
                <w:noProof/>
                <w:webHidden/>
              </w:rPr>
              <w:fldChar w:fldCharType="end"/>
            </w:r>
          </w:hyperlink>
        </w:p>
        <w:p w14:paraId="77997FC0" w14:textId="0B8D43AE" w:rsidR="006A44FB" w:rsidRDefault="00B70B29" w:rsidP="0060141A">
          <w:pPr>
            <w:pStyle w:val="TOC2"/>
            <w:rPr>
              <w:rFonts w:eastAsiaTheme="minorEastAsia"/>
              <w:noProof/>
              <w:lang w:val="it-IT" w:eastAsia="it-IT"/>
            </w:rPr>
          </w:pPr>
          <w:hyperlink w:anchor="_Toc25684069" w:history="1">
            <w:r w:rsidR="006A44FB" w:rsidRPr="00086952">
              <w:rPr>
                <w:rStyle w:val="Hyperlink"/>
                <w:noProof/>
              </w:rPr>
              <w:t>2.3</w:t>
            </w:r>
            <w:r w:rsidR="006A44FB">
              <w:rPr>
                <w:rFonts w:eastAsiaTheme="minorEastAsia"/>
                <w:noProof/>
                <w:lang w:val="it-IT" w:eastAsia="it-IT"/>
              </w:rPr>
              <w:tab/>
            </w:r>
            <w:r w:rsidR="006A44FB" w:rsidRPr="00086952">
              <w:rPr>
                <w:rStyle w:val="Hyperlink"/>
                <w:noProof/>
                <w:lang w:val="en-IE"/>
              </w:rPr>
              <w:t>Main advantages</w:t>
            </w:r>
            <w:r w:rsidR="006A44FB">
              <w:rPr>
                <w:noProof/>
                <w:webHidden/>
              </w:rPr>
              <w:tab/>
            </w:r>
            <w:r w:rsidR="006A44FB">
              <w:rPr>
                <w:noProof/>
                <w:webHidden/>
              </w:rPr>
              <w:fldChar w:fldCharType="begin"/>
            </w:r>
            <w:r w:rsidR="006A44FB">
              <w:rPr>
                <w:noProof/>
                <w:webHidden/>
              </w:rPr>
              <w:instrText xml:space="preserve"> PAGEREF _Toc25684069 \h </w:instrText>
            </w:r>
            <w:r w:rsidR="006A44FB">
              <w:rPr>
                <w:noProof/>
                <w:webHidden/>
              </w:rPr>
            </w:r>
            <w:r w:rsidR="006A44FB">
              <w:rPr>
                <w:noProof/>
                <w:webHidden/>
              </w:rPr>
              <w:fldChar w:fldCharType="separate"/>
            </w:r>
            <w:r w:rsidR="006A44FB">
              <w:rPr>
                <w:noProof/>
                <w:webHidden/>
              </w:rPr>
              <w:t>10</w:t>
            </w:r>
            <w:r w:rsidR="006A44FB">
              <w:rPr>
                <w:noProof/>
                <w:webHidden/>
              </w:rPr>
              <w:fldChar w:fldCharType="end"/>
            </w:r>
          </w:hyperlink>
        </w:p>
        <w:p w14:paraId="56C6D937" w14:textId="1B3A0E31" w:rsidR="006A44FB" w:rsidRDefault="00B70B29">
          <w:pPr>
            <w:pStyle w:val="TOC3"/>
            <w:rPr>
              <w:rFonts w:eastAsiaTheme="minorEastAsia"/>
              <w:noProof/>
              <w:lang w:val="it-IT" w:eastAsia="it-IT"/>
            </w:rPr>
          </w:pPr>
          <w:hyperlink w:anchor="_Toc25684070" w:history="1">
            <w:r w:rsidR="006A44FB" w:rsidRPr="00086952">
              <w:rPr>
                <w:rStyle w:val="Hyperlink"/>
                <w:noProof/>
                <w:lang w:val="en-IE"/>
              </w:rPr>
              <w:t>2.3.1</w:t>
            </w:r>
            <w:r w:rsidR="006A44FB">
              <w:rPr>
                <w:rFonts w:eastAsiaTheme="minorEastAsia"/>
                <w:noProof/>
                <w:lang w:val="it-IT" w:eastAsia="it-IT"/>
              </w:rPr>
              <w:tab/>
            </w:r>
            <w:r w:rsidR="006A44FB" w:rsidRPr="00086952">
              <w:rPr>
                <w:rStyle w:val="Hyperlink"/>
                <w:noProof/>
                <w:lang w:val="en-IE"/>
              </w:rPr>
              <w:t>Digital</w:t>
            </w:r>
            <w:r w:rsidR="006A44FB">
              <w:rPr>
                <w:noProof/>
                <w:webHidden/>
              </w:rPr>
              <w:tab/>
            </w:r>
            <w:r w:rsidR="006A44FB">
              <w:rPr>
                <w:noProof/>
                <w:webHidden/>
              </w:rPr>
              <w:fldChar w:fldCharType="begin"/>
            </w:r>
            <w:r w:rsidR="006A44FB">
              <w:rPr>
                <w:noProof/>
                <w:webHidden/>
              </w:rPr>
              <w:instrText xml:space="preserve"> PAGEREF _Toc25684070 \h </w:instrText>
            </w:r>
            <w:r w:rsidR="006A44FB">
              <w:rPr>
                <w:noProof/>
                <w:webHidden/>
              </w:rPr>
            </w:r>
            <w:r w:rsidR="006A44FB">
              <w:rPr>
                <w:noProof/>
                <w:webHidden/>
              </w:rPr>
              <w:fldChar w:fldCharType="separate"/>
            </w:r>
            <w:r w:rsidR="006A44FB">
              <w:rPr>
                <w:noProof/>
                <w:webHidden/>
              </w:rPr>
              <w:t>10</w:t>
            </w:r>
            <w:r w:rsidR="006A44FB">
              <w:rPr>
                <w:noProof/>
                <w:webHidden/>
              </w:rPr>
              <w:fldChar w:fldCharType="end"/>
            </w:r>
          </w:hyperlink>
        </w:p>
        <w:p w14:paraId="2588058C" w14:textId="35ED0270" w:rsidR="006A44FB" w:rsidRDefault="00B70B29">
          <w:pPr>
            <w:pStyle w:val="TOC3"/>
            <w:rPr>
              <w:rFonts w:eastAsiaTheme="minorEastAsia"/>
              <w:noProof/>
              <w:lang w:val="it-IT" w:eastAsia="it-IT"/>
            </w:rPr>
          </w:pPr>
          <w:hyperlink w:anchor="_Toc25684071" w:history="1">
            <w:r w:rsidR="006A44FB" w:rsidRPr="00086952">
              <w:rPr>
                <w:rStyle w:val="Hyperlink"/>
                <w:noProof/>
                <w:lang w:val="en-IE"/>
              </w:rPr>
              <w:t>2.3.2</w:t>
            </w:r>
            <w:r w:rsidR="006A44FB">
              <w:rPr>
                <w:rFonts w:eastAsiaTheme="minorEastAsia"/>
                <w:noProof/>
                <w:lang w:val="it-IT" w:eastAsia="it-IT"/>
              </w:rPr>
              <w:tab/>
            </w:r>
            <w:r w:rsidR="006A44FB" w:rsidRPr="00086952">
              <w:rPr>
                <w:rStyle w:val="Hyperlink"/>
                <w:noProof/>
                <w:lang w:val="en-IE"/>
              </w:rPr>
              <w:t>Flexible</w:t>
            </w:r>
            <w:r w:rsidR="006A44FB">
              <w:rPr>
                <w:noProof/>
                <w:webHidden/>
              </w:rPr>
              <w:tab/>
            </w:r>
            <w:r w:rsidR="006A44FB">
              <w:rPr>
                <w:noProof/>
                <w:webHidden/>
              </w:rPr>
              <w:fldChar w:fldCharType="begin"/>
            </w:r>
            <w:r w:rsidR="006A44FB">
              <w:rPr>
                <w:noProof/>
                <w:webHidden/>
              </w:rPr>
              <w:instrText xml:space="preserve"> PAGEREF _Toc25684071 \h </w:instrText>
            </w:r>
            <w:r w:rsidR="006A44FB">
              <w:rPr>
                <w:noProof/>
                <w:webHidden/>
              </w:rPr>
            </w:r>
            <w:r w:rsidR="006A44FB">
              <w:rPr>
                <w:noProof/>
                <w:webHidden/>
              </w:rPr>
              <w:fldChar w:fldCharType="separate"/>
            </w:r>
            <w:r w:rsidR="006A44FB">
              <w:rPr>
                <w:noProof/>
                <w:webHidden/>
              </w:rPr>
              <w:t>10</w:t>
            </w:r>
            <w:r w:rsidR="006A44FB">
              <w:rPr>
                <w:noProof/>
                <w:webHidden/>
              </w:rPr>
              <w:fldChar w:fldCharType="end"/>
            </w:r>
          </w:hyperlink>
        </w:p>
        <w:p w14:paraId="6E499B48" w14:textId="2389C476" w:rsidR="006A44FB" w:rsidRDefault="00B70B29">
          <w:pPr>
            <w:pStyle w:val="TOC3"/>
            <w:rPr>
              <w:rFonts w:eastAsiaTheme="minorEastAsia"/>
              <w:noProof/>
              <w:lang w:val="it-IT" w:eastAsia="it-IT"/>
            </w:rPr>
          </w:pPr>
          <w:hyperlink w:anchor="_Toc25684072" w:history="1">
            <w:r w:rsidR="006A44FB" w:rsidRPr="00086952">
              <w:rPr>
                <w:rStyle w:val="Hyperlink"/>
                <w:noProof/>
                <w:lang w:val="en-IE"/>
              </w:rPr>
              <w:t>2.3.3</w:t>
            </w:r>
            <w:r w:rsidR="006A44FB">
              <w:rPr>
                <w:rFonts w:eastAsiaTheme="minorEastAsia"/>
                <w:noProof/>
                <w:lang w:val="it-IT" w:eastAsia="it-IT"/>
              </w:rPr>
              <w:tab/>
            </w:r>
            <w:r w:rsidR="006A44FB" w:rsidRPr="00086952">
              <w:rPr>
                <w:rStyle w:val="Hyperlink"/>
                <w:noProof/>
                <w:lang w:val="en-IE"/>
              </w:rPr>
              <w:t>Relevant</w:t>
            </w:r>
            <w:r w:rsidR="006A44FB">
              <w:rPr>
                <w:noProof/>
                <w:webHidden/>
              </w:rPr>
              <w:tab/>
            </w:r>
            <w:r w:rsidR="006A44FB">
              <w:rPr>
                <w:noProof/>
                <w:webHidden/>
              </w:rPr>
              <w:fldChar w:fldCharType="begin"/>
            </w:r>
            <w:r w:rsidR="006A44FB">
              <w:rPr>
                <w:noProof/>
                <w:webHidden/>
              </w:rPr>
              <w:instrText xml:space="preserve"> PAGEREF _Toc25684072 \h </w:instrText>
            </w:r>
            <w:r w:rsidR="006A44FB">
              <w:rPr>
                <w:noProof/>
                <w:webHidden/>
              </w:rPr>
            </w:r>
            <w:r w:rsidR="006A44FB">
              <w:rPr>
                <w:noProof/>
                <w:webHidden/>
              </w:rPr>
              <w:fldChar w:fldCharType="separate"/>
            </w:r>
            <w:r w:rsidR="006A44FB">
              <w:rPr>
                <w:noProof/>
                <w:webHidden/>
              </w:rPr>
              <w:t>11</w:t>
            </w:r>
            <w:r w:rsidR="006A44FB">
              <w:rPr>
                <w:noProof/>
                <w:webHidden/>
              </w:rPr>
              <w:fldChar w:fldCharType="end"/>
            </w:r>
          </w:hyperlink>
        </w:p>
        <w:p w14:paraId="18D707AE" w14:textId="6CB73CA5" w:rsidR="006A44FB" w:rsidRDefault="00B70B29">
          <w:pPr>
            <w:pStyle w:val="TOC3"/>
            <w:rPr>
              <w:rFonts w:eastAsiaTheme="minorEastAsia"/>
              <w:noProof/>
              <w:lang w:val="it-IT" w:eastAsia="it-IT"/>
            </w:rPr>
          </w:pPr>
          <w:hyperlink w:anchor="_Toc25684073" w:history="1">
            <w:r w:rsidR="006A44FB" w:rsidRPr="00086952">
              <w:rPr>
                <w:rStyle w:val="Hyperlink"/>
                <w:noProof/>
                <w:lang w:val="en-IE"/>
              </w:rPr>
              <w:t>2.3.4</w:t>
            </w:r>
            <w:r w:rsidR="006A44FB">
              <w:rPr>
                <w:rFonts w:eastAsiaTheme="minorEastAsia"/>
                <w:noProof/>
                <w:lang w:val="it-IT" w:eastAsia="it-IT"/>
              </w:rPr>
              <w:tab/>
            </w:r>
            <w:r w:rsidR="006A44FB" w:rsidRPr="00086952">
              <w:rPr>
                <w:rStyle w:val="Hyperlink"/>
                <w:noProof/>
                <w:lang w:val="en-IE"/>
              </w:rPr>
              <w:t>Clear</w:t>
            </w:r>
            <w:r w:rsidR="006A44FB">
              <w:rPr>
                <w:noProof/>
                <w:webHidden/>
              </w:rPr>
              <w:tab/>
            </w:r>
            <w:r w:rsidR="006A44FB">
              <w:rPr>
                <w:noProof/>
                <w:webHidden/>
              </w:rPr>
              <w:fldChar w:fldCharType="begin"/>
            </w:r>
            <w:r w:rsidR="006A44FB">
              <w:rPr>
                <w:noProof/>
                <w:webHidden/>
              </w:rPr>
              <w:instrText xml:space="preserve"> PAGEREF _Toc25684073 \h </w:instrText>
            </w:r>
            <w:r w:rsidR="006A44FB">
              <w:rPr>
                <w:noProof/>
                <w:webHidden/>
              </w:rPr>
            </w:r>
            <w:r w:rsidR="006A44FB">
              <w:rPr>
                <w:noProof/>
                <w:webHidden/>
              </w:rPr>
              <w:fldChar w:fldCharType="separate"/>
            </w:r>
            <w:r w:rsidR="006A44FB">
              <w:rPr>
                <w:noProof/>
                <w:webHidden/>
              </w:rPr>
              <w:t>11</w:t>
            </w:r>
            <w:r w:rsidR="006A44FB">
              <w:rPr>
                <w:noProof/>
                <w:webHidden/>
              </w:rPr>
              <w:fldChar w:fldCharType="end"/>
            </w:r>
          </w:hyperlink>
        </w:p>
        <w:p w14:paraId="0C4E4EB1" w14:textId="16789211" w:rsidR="006A44FB" w:rsidRDefault="00B70B29">
          <w:pPr>
            <w:pStyle w:val="TOC1"/>
            <w:rPr>
              <w:rFonts w:eastAsiaTheme="minorEastAsia"/>
              <w:noProof/>
              <w:lang w:val="it-IT" w:eastAsia="it-IT"/>
            </w:rPr>
          </w:pPr>
          <w:hyperlink w:anchor="_Toc25684074" w:history="1">
            <w:r w:rsidR="006A44FB" w:rsidRPr="00086952">
              <w:rPr>
                <w:rStyle w:val="Hyperlink"/>
                <w:noProof/>
                <w:lang w:val="en-IE"/>
              </w:rPr>
              <w:t>3</w:t>
            </w:r>
            <w:r w:rsidR="006A44FB">
              <w:rPr>
                <w:rFonts w:eastAsiaTheme="minorEastAsia"/>
                <w:noProof/>
                <w:lang w:val="it-IT" w:eastAsia="it-IT"/>
              </w:rPr>
              <w:tab/>
            </w:r>
            <w:r w:rsidR="006A44FB" w:rsidRPr="00086952">
              <w:rPr>
                <w:rStyle w:val="Hyperlink"/>
                <w:noProof/>
                <w:lang w:val="en-IE"/>
              </w:rPr>
              <w:t>Tailoring eForms</w:t>
            </w:r>
            <w:r w:rsidR="006A44FB">
              <w:rPr>
                <w:noProof/>
                <w:webHidden/>
              </w:rPr>
              <w:tab/>
            </w:r>
            <w:r w:rsidR="006A44FB">
              <w:rPr>
                <w:noProof/>
                <w:webHidden/>
              </w:rPr>
              <w:fldChar w:fldCharType="begin"/>
            </w:r>
            <w:r w:rsidR="006A44FB">
              <w:rPr>
                <w:noProof/>
                <w:webHidden/>
              </w:rPr>
              <w:instrText xml:space="preserve"> PAGEREF _Toc25684074 \h </w:instrText>
            </w:r>
            <w:r w:rsidR="006A44FB">
              <w:rPr>
                <w:noProof/>
                <w:webHidden/>
              </w:rPr>
            </w:r>
            <w:r w:rsidR="006A44FB">
              <w:rPr>
                <w:noProof/>
                <w:webHidden/>
              </w:rPr>
              <w:fldChar w:fldCharType="separate"/>
            </w:r>
            <w:r w:rsidR="006A44FB">
              <w:rPr>
                <w:noProof/>
                <w:webHidden/>
              </w:rPr>
              <w:t>12</w:t>
            </w:r>
            <w:r w:rsidR="006A44FB">
              <w:rPr>
                <w:noProof/>
                <w:webHidden/>
              </w:rPr>
              <w:fldChar w:fldCharType="end"/>
            </w:r>
          </w:hyperlink>
        </w:p>
        <w:p w14:paraId="332DA3C9" w14:textId="4EA9B5B9" w:rsidR="006A44FB" w:rsidRDefault="00B70B29" w:rsidP="0060141A">
          <w:pPr>
            <w:pStyle w:val="TOC2"/>
            <w:rPr>
              <w:rFonts w:eastAsiaTheme="minorEastAsia"/>
              <w:noProof/>
              <w:lang w:val="it-IT" w:eastAsia="it-IT"/>
            </w:rPr>
          </w:pPr>
          <w:hyperlink w:anchor="_Toc25684075" w:history="1">
            <w:r w:rsidR="006A44FB" w:rsidRPr="00086952">
              <w:rPr>
                <w:rStyle w:val="Hyperlink"/>
                <w:noProof/>
              </w:rPr>
              <w:t>3.1</w:t>
            </w:r>
            <w:r w:rsidR="006A44FB">
              <w:rPr>
                <w:rFonts w:eastAsiaTheme="minorEastAsia"/>
                <w:noProof/>
                <w:lang w:val="it-IT" w:eastAsia="it-IT"/>
              </w:rPr>
              <w:tab/>
            </w:r>
            <w:r w:rsidR="006A44FB" w:rsidRPr="00086952">
              <w:rPr>
                <w:rStyle w:val="Hyperlink"/>
                <w:rFonts w:eastAsia="Times New Roman"/>
                <w:noProof/>
                <w:lang w:val="en-IE"/>
              </w:rPr>
              <w:t>Governance</w:t>
            </w:r>
            <w:r w:rsidR="006A44FB">
              <w:rPr>
                <w:noProof/>
                <w:webHidden/>
              </w:rPr>
              <w:tab/>
            </w:r>
            <w:r w:rsidR="006A44FB">
              <w:rPr>
                <w:noProof/>
                <w:webHidden/>
              </w:rPr>
              <w:fldChar w:fldCharType="begin"/>
            </w:r>
            <w:r w:rsidR="006A44FB">
              <w:rPr>
                <w:noProof/>
                <w:webHidden/>
              </w:rPr>
              <w:instrText xml:space="preserve"> PAGEREF _Toc25684075 \h </w:instrText>
            </w:r>
            <w:r w:rsidR="006A44FB">
              <w:rPr>
                <w:noProof/>
                <w:webHidden/>
              </w:rPr>
            </w:r>
            <w:r w:rsidR="006A44FB">
              <w:rPr>
                <w:noProof/>
                <w:webHidden/>
              </w:rPr>
              <w:fldChar w:fldCharType="separate"/>
            </w:r>
            <w:r w:rsidR="006A44FB">
              <w:rPr>
                <w:noProof/>
                <w:webHidden/>
              </w:rPr>
              <w:t>12</w:t>
            </w:r>
            <w:r w:rsidR="006A44FB">
              <w:rPr>
                <w:noProof/>
                <w:webHidden/>
              </w:rPr>
              <w:fldChar w:fldCharType="end"/>
            </w:r>
          </w:hyperlink>
        </w:p>
        <w:p w14:paraId="78F1146F" w14:textId="1F8787E9" w:rsidR="006A44FB" w:rsidRDefault="00B70B29" w:rsidP="0060141A">
          <w:pPr>
            <w:pStyle w:val="TOC2"/>
            <w:rPr>
              <w:rFonts w:eastAsiaTheme="minorEastAsia"/>
              <w:noProof/>
              <w:lang w:val="it-IT" w:eastAsia="it-IT"/>
            </w:rPr>
          </w:pPr>
          <w:hyperlink w:anchor="_Toc25684076" w:history="1">
            <w:r w:rsidR="006A44FB" w:rsidRPr="00086952">
              <w:rPr>
                <w:rStyle w:val="Hyperlink"/>
                <w:noProof/>
              </w:rPr>
              <w:t>3.2</w:t>
            </w:r>
            <w:r w:rsidR="006A44FB">
              <w:rPr>
                <w:rFonts w:eastAsiaTheme="minorEastAsia"/>
                <w:noProof/>
                <w:lang w:val="it-IT" w:eastAsia="it-IT"/>
              </w:rPr>
              <w:tab/>
            </w:r>
            <w:r w:rsidR="006A44FB" w:rsidRPr="00086952">
              <w:rPr>
                <w:rStyle w:val="Hyperlink"/>
                <w:noProof/>
                <w:lang w:val="en-IE"/>
              </w:rPr>
              <w:t>Comparing costs and benefits</w:t>
            </w:r>
            <w:r w:rsidR="006A44FB">
              <w:rPr>
                <w:noProof/>
                <w:webHidden/>
              </w:rPr>
              <w:tab/>
            </w:r>
            <w:r w:rsidR="006A44FB">
              <w:rPr>
                <w:noProof/>
                <w:webHidden/>
              </w:rPr>
              <w:fldChar w:fldCharType="begin"/>
            </w:r>
            <w:r w:rsidR="006A44FB">
              <w:rPr>
                <w:noProof/>
                <w:webHidden/>
              </w:rPr>
              <w:instrText xml:space="preserve"> PAGEREF _Toc25684076 \h </w:instrText>
            </w:r>
            <w:r w:rsidR="006A44FB">
              <w:rPr>
                <w:noProof/>
                <w:webHidden/>
              </w:rPr>
            </w:r>
            <w:r w:rsidR="006A44FB">
              <w:rPr>
                <w:noProof/>
                <w:webHidden/>
              </w:rPr>
              <w:fldChar w:fldCharType="separate"/>
            </w:r>
            <w:r w:rsidR="006A44FB">
              <w:rPr>
                <w:noProof/>
                <w:webHidden/>
              </w:rPr>
              <w:t>13</w:t>
            </w:r>
            <w:r w:rsidR="006A44FB">
              <w:rPr>
                <w:noProof/>
                <w:webHidden/>
              </w:rPr>
              <w:fldChar w:fldCharType="end"/>
            </w:r>
          </w:hyperlink>
        </w:p>
        <w:p w14:paraId="53A9CBED" w14:textId="6A47FF24" w:rsidR="006A44FB" w:rsidRDefault="00B70B29" w:rsidP="0060141A">
          <w:pPr>
            <w:pStyle w:val="TOC2"/>
            <w:rPr>
              <w:rFonts w:eastAsiaTheme="minorEastAsia"/>
              <w:noProof/>
              <w:lang w:val="it-IT" w:eastAsia="it-IT"/>
            </w:rPr>
          </w:pPr>
          <w:hyperlink w:anchor="_Toc25684077" w:history="1">
            <w:r w:rsidR="006A44FB" w:rsidRPr="00086952">
              <w:rPr>
                <w:rStyle w:val="Hyperlink"/>
                <w:noProof/>
              </w:rPr>
              <w:t>3.3</w:t>
            </w:r>
            <w:r w:rsidR="006A44FB">
              <w:rPr>
                <w:rFonts w:eastAsiaTheme="minorEastAsia"/>
                <w:noProof/>
                <w:lang w:val="it-IT" w:eastAsia="it-IT"/>
              </w:rPr>
              <w:tab/>
            </w:r>
            <w:r w:rsidR="006A44FB" w:rsidRPr="00086952">
              <w:rPr>
                <w:rStyle w:val="Hyperlink"/>
                <w:noProof/>
                <w:lang w:val="en-IE"/>
              </w:rPr>
              <w:t>eForms use not mandated by the Directives</w:t>
            </w:r>
            <w:r w:rsidR="006A44FB">
              <w:rPr>
                <w:noProof/>
                <w:webHidden/>
              </w:rPr>
              <w:tab/>
            </w:r>
            <w:r w:rsidR="006A44FB">
              <w:rPr>
                <w:noProof/>
                <w:webHidden/>
              </w:rPr>
              <w:fldChar w:fldCharType="begin"/>
            </w:r>
            <w:r w:rsidR="006A44FB">
              <w:rPr>
                <w:noProof/>
                <w:webHidden/>
              </w:rPr>
              <w:instrText xml:space="preserve"> PAGEREF _Toc25684077 \h </w:instrText>
            </w:r>
            <w:r w:rsidR="006A44FB">
              <w:rPr>
                <w:noProof/>
                <w:webHidden/>
              </w:rPr>
            </w:r>
            <w:r w:rsidR="006A44FB">
              <w:rPr>
                <w:noProof/>
                <w:webHidden/>
              </w:rPr>
              <w:fldChar w:fldCharType="separate"/>
            </w:r>
            <w:r w:rsidR="006A44FB">
              <w:rPr>
                <w:noProof/>
                <w:webHidden/>
              </w:rPr>
              <w:t>14</w:t>
            </w:r>
            <w:r w:rsidR="006A44FB">
              <w:rPr>
                <w:noProof/>
                <w:webHidden/>
              </w:rPr>
              <w:fldChar w:fldCharType="end"/>
            </w:r>
          </w:hyperlink>
        </w:p>
        <w:p w14:paraId="340128A0" w14:textId="6B346C46" w:rsidR="006A44FB" w:rsidRDefault="00B70B29">
          <w:pPr>
            <w:pStyle w:val="TOC3"/>
            <w:rPr>
              <w:rFonts w:eastAsiaTheme="minorEastAsia"/>
              <w:noProof/>
              <w:lang w:val="it-IT" w:eastAsia="it-IT"/>
            </w:rPr>
          </w:pPr>
          <w:hyperlink w:anchor="_Toc25684078" w:history="1">
            <w:r w:rsidR="006A44FB" w:rsidRPr="00086952">
              <w:rPr>
                <w:rStyle w:val="Hyperlink"/>
                <w:noProof/>
                <w:lang w:val="en-IE"/>
              </w:rPr>
              <w:t>3.3.1</w:t>
            </w:r>
            <w:r w:rsidR="006A44FB">
              <w:rPr>
                <w:rFonts w:eastAsiaTheme="minorEastAsia"/>
                <w:noProof/>
                <w:lang w:val="it-IT" w:eastAsia="it-IT"/>
              </w:rPr>
              <w:tab/>
            </w:r>
            <w:r w:rsidR="006A44FB" w:rsidRPr="00086952">
              <w:rPr>
                <w:rStyle w:val="Hyperlink"/>
                <w:noProof/>
                <w:lang w:val="en-IE"/>
              </w:rPr>
              <w:t>Below-threshold notices</w:t>
            </w:r>
            <w:r w:rsidR="006A44FB">
              <w:rPr>
                <w:noProof/>
                <w:webHidden/>
              </w:rPr>
              <w:tab/>
            </w:r>
            <w:r w:rsidR="006A44FB">
              <w:rPr>
                <w:noProof/>
                <w:webHidden/>
              </w:rPr>
              <w:fldChar w:fldCharType="begin"/>
            </w:r>
            <w:r w:rsidR="006A44FB">
              <w:rPr>
                <w:noProof/>
                <w:webHidden/>
              </w:rPr>
              <w:instrText xml:space="preserve"> PAGEREF _Toc25684078 \h </w:instrText>
            </w:r>
            <w:r w:rsidR="006A44FB">
              <w:rPr>
                <w:noProof/>
                <w:webHidden/>
              </w:rPr>
            </w:r>
            <w:r w:rsidR="006A44FB">
              <w:rPr>
                <w:noProof/>
                <w:webHidden/>
              </w:rPr>
              <w:fldChar w:fldCharType="separate"/>
            </w:r>
            <w:r w:rsidR="006A44FB">
              <w:rPr>
                <w:noProof/>
                <w:webHidden/>
              </w:rPr>
              <w:t>14</w:t>
            </w:r>
            <w:r w:rsidR="006A44FB">
              <w:rPr>
                <w:noProof/>
                <w:webHidden/>
              </w:rPr>
              <w:fldChar w:fldCharType="end"/>
            </w:r>
          </w:hyperlink>
        </w:p>
        <w:p w14:paraId="2B8060B0" w14:textId="4298047D" w:rsidR="006A44FB" w:rsidRDefault="00B70B29">
          <w:pPr>
            <w:pStyle w:val="TOC3"/>
            <w:rPr>
              <w:rFonts w:eastAsiaTheme="minorEastAsia"/>
              <w:noProof/>
              <w:lang w:val="it-IT" w:eastAsia="it-IT"/>
            </w:rPr>
          </w:pPr>
          <w:hyperlink w:anchor="_Toc25684079" w:history="1">
            <w:r w:rsidR="006A44FB" w:rsidRPr="00086952">
              <w:rPr>
                <w:rStyle w:val="Hyperlink"/>
                <w:noProof/>
                <w:lang w:val="en-IE"/>
              </w:rPr>
              <w:t>3.3.2</w:t>
            </w:r>
            <w:r w:rsidR="006A44FB">
              <w:rPr>
                <w:rFonts w:eastAsiaTheme="minorEastAsia"/>
                <w:noProof/>
                <w:lang w:val="it-IT" w:eastAsia="it-IT"/>
              </w:rPr>
              <w:tab/>
            </w:r>
            <w:r w:rsidR="006A44FB" w:rsidRPr="00086952">
              <w:rPr>
                <w:rStyle w:val="Hyperlink"/>
                <w:noProof/>
                <w:lang w:val="en-IE"/>
              </w:rPr>
              <w:t>Contracts in framework agreements</w:t>
            </w:r>
            <w:r w:rsidR="006A44FB">
              <w:rPr>
                <w:noProof/>
                <w:webHidden/>
              </w:rPr>
              <w:tab/>
            </w:r>
            <w:r w:rsidR="006A44FB">
              <w:rPr>
                <w:noProof/>
                <w:webHidden/>
              </w:rPr>
              <w:fldChar w:fldCharType="begin"/>
            </w:r>
            <w:r w:rsidR="006A44FB">
              <w:rPr>
                <w:noProof/>
                <w:webHidden/>
              </w:rPr>
              <w:instrText xml:space="preserve"> PAGEREF _Toc25684079 \h </w:instrText>
            </w:r>
            <w:r w:rsidR="006A44FB">
              <w:rPr>
                <w:noProof/>
                <w:webHidden/>
              </w:rPr>
            </w:r>
            <w:r w:rsidR="006A44FB">
              <w:rPr>
                <w:noProof/>
                <w:webHidden/>
              </w:rPr>
              <w:fldChar w:fldCharType="separate"/>
            </w:r>
            <w:r w:rsidR="006A44FB">
              <w:rPr>
                <w:noProof/>
                <w:webHidden/>
              </w:rPr>
              <w:t>15</w:t>
            </w:r>
            <w:r w:rsidR="006A44FB">
              <w:rPr>
                <w:noProof/>
                <w:webHidden/>
              </w:rPr>
              <w:fldChar w:fldCharType="end"/>
            </w:r>
          </w:hyperlink>
        </w:p>
        <w:p w14:paraId="7709FC40" w14:textId="1E6D6A1B" w:rsidR="006A44FB" w:rsidRDefault="00B70B29">
          <w:pPr>
            <w:pStyle w:val="TOC3"/>
            <w:rPr>
              <w:rFonts w:eastAsiaTheme="minorEastAsia"/>
              <w:noProof/>
              <w:lang w:val="it-IT" w:eastAsia="it-IT"/>
            </w:rPr>
          </w:pPr>
          <w:hyperlink w:anchor="_Toc25684080" w:history="1">
            <w:r w:rsidR="006A44FB" w:rsidRPr="00086952">
              <w:rPr>
                <w:rStyle w:val="Hyperlink"/>
                <w:noProof/>
                <w:lang w:val="en-IE"/>
              </w:rPr>
              <w:t>3.3.3</w:t>
            </w:r>
            <w:r w:rsidR="006A44FB">
              <w:rPr>
                <w:rFonts w:eastAsiaTheme="minorEastAsia"/>
                <w:noProof/>
                <w:lang w:val="it-IT" w:eastAsia="it-IT"/>
              </w:rPr>
              <w:tab/>
            </w:r>
            <w:r w:rsidR="006A44FB" w:rsidRPr="00086952">
              <w:rPr>
                <w:rStyle w:val="Hyperlink"/>
                <w:noProof/>
                <w:lang w:val="en-IE"/>
              </w:rPr>
              <w:t>Minor modifications</w:t>
            </w:r>
            <w:r w:rsidR="006A44FB">
              <w:rPr>
                <w:noProof/>
                <w:webHidden/>
              </w:rPr>
              <w:tab/>
            </w:r>
            <w:r w:rsidR="006A44FB">
              <w:rPr>
                <w:noProof/>
                <w:webHidden/>
              </w:rPr>
              <w:fldChar w:fldCharType="begin"/>
            </w:r>
            <w:r w:rsidR="006A44FB">
              <w:rPr>
                <w:noProof/>
                <w:webHidden/>
              </w:rPr>
              <w:instrText xml:space="preserve"> PAGEREF _Toc25684080 \h </w:instrText>
            </w:r>
            <w:r w:rsidR="006A44FB">
              <w:rPr>
                <w:noProof/>
                <w:webHidden/>
              </w:rPr>
            </w:r>
            <w:r w:rsidR="006A44FB">
              <w:rPr>
                <w:noProof/>
                <w:webHidden/>
              </w:rPr>
              <w:fldChar w:fldCharType="separate"/>
            </w:r>
            <w:r w:rsidR="006A44FB">
              <w:rPr>
                <w:noProof/>
                <w:webHidden/>
              </w:rPr>
              <w:t>15</w:t>
            </w:r>
            <w:r w:rsidR="006A44FB">
              <w:rPr>
                <w:noProof/>
                <w:webHidden/>
              </w:rPr>
              <w:fldChar w:fldCharType="end"/>
            </w:r>
          </w:hyperlink>
        </w:p>
        <w:p w14:paraId="551F2BEB" w14:textId="1A1565B7" w:rsidR="006A44FB" w:rsidRDefault="00B70B29">
          <w:pPr>
            <w:pStyle w:val="TOC3"/>
            <w:rPr>
              <w:rFonts w:eastAsiaTheme="minorEastAsia"/>
              <w:noProof/>
              <w:lang w:val="it-IT" w:eastAsia="it-IT"/>
            </w:rPr>
          </w:pPr>
          <w:hyperlink w:anchor="_Toc25684081" w:history="1">
            <w:r w:rsidR="006A44FB" w:rsidRPr="00086952">
              <w:rPr>
                <w:rStyle w:val="Hyperlink"/>
                <w:noProof/>
                <w:lang w:val="en-IE"/>
              </w:rPr>
              <w:t>3.3.4</w:t>
            </w:r>
            <w:r w:rsidR="006A44FB">
              <w:rPr>
                <w:rFonts w:eastAsiaTheme="minorEastAsia"/>
                <w:noProof/>
                <w:lang w:val="it-IT" w:eastAsia="it-IT"/>
              </w:rPr>
              <w:tab/>
            </w:r>
            <w:r w:rsidR="006A44FB" w:rsidRPr="00086952">
              <w:rPr>
                <w:rStyle w:val="Hyperlink"/>
                <w:noProof/>
                <w:lang w:val="en-IE"/>
              </w:rPr>
              <w:t>All bids received</w:t>
            </w:r>
            <w:r w:rsidR="006A44FB">
              <w:rPr>
                <w:noProof/>
                <w:webHidden/>
              </w:rPr>
              <w:tab/>
            </w:r>
            <w:r w:rsidR="006A44FB">
              <w:rPr>
                <w:noProof/>
                <w:webHidden/>
              </w:rPr>
              <w:fldChar w:fldCharType="begin"/>
            </w:r>
            <w:r w:rsidR="006A44FB">
              <w:rPr>
                <w:noProof/>
                <w:webHidden/>
              </w:rPr>
              <w:instrText xml:space="preserve"> PAGEREF _Toc25684081 \h </w:instrText>
            </w:r>
            <w:r w:rsidR="006A44FB">
              <w:rPr>
                <w:noProof/>
                <w:webHidden/>
              </w:rPr>
            </w:r>
            <w:r w:rsidR="006A44FB">
              <w:rPr>
                <w:noProof/>
                <w:webHidden/>
              </w:rPr>
              <w:fldChar w:fldCharType="separate"/>
            </w:r>
            <w:r w:rsidR="006A44FB">
              <w:rPr>
                <w:noProof/>
                <w:webHidden/>
              </w:rPr>
              <w:t>15</w:t>
            </w:r>
            <w:r w:rsidR="006A44FB">
              <w:rPr>
                <w:noProof/>
                <w:webHidden/>
              </w:rPr>
              <w:fldChar w:fldCharType="end"/>
            </w:r>
          </w:hyperlink>
        </w:p>
        <w:p w14:paraId="27E4BC33" w14:textId="46BB7678" w:rsidR="006A44FB" w:rsidRDefault="00B70B29" w:rsidP="0060141A">
          <w:pPr>
            <w:pStyle w:val="TOC2"/>
            <w:rPr>
              <w:rFonts w:eastAsiaTheme="minorEastAsia"/>
              <w:noProof/>
              <w:lang w:val="it-IT" w:eastAsia="it-IT"/>
            </w:rPr>
          </w:pPr>
          <w:hyperlink w:anchor="_Toc25684082" w:history="1">
            <w:r w:rsidR="006A44FB" w:rsidRPr="00086952">
              <w:rPr>
                <w:rStyle w:val="Hyperlink"/>
                <w:noProof/>
              </w:rPr>
              <w:t>3.4</w:t>
            </w:r>
            <w:r w:rsidR="006A44FB">
              <w:rPr>
                <w:rFonts w:eastAsiaTheme="minorEastAsia"/>
                <w:noProof/>
                <w:lang w:val="it-IT" w:eastAsia="it-IT"/>
              </w:rPr>
              <w:tab/>
            </w:r>
            <w:r w:rsidR="006A44FB" w:rsidRPr="00086952">
              <w:rPr>
                <w:rStyle w:val="Hyperlink"/>
                <w:noProof/>
                <w:lang w:val="en-IE"/>
              </w:rPr>
              <w:t>Not using certain notices, using additional notices</w:t>
            </w:r>
            <w:r w:rsidR="006A44FB">
              <w:rPr>
                <w:noProof/>
                <w:webHidden/>
              </w:rPr>
              <w:tab/>
            </w:r>
            <w:r w:rsidR="006A44FB">
              <w:rPr>
                <w:noProof/>
                <w:webHidden/>
              </w:rPr>
              <w:fldChar w:fldCharType="begin"/>
            </w:r>
            <w:r w:rsidR="006A44FB">
              <w:rPr>
                <w:noProof/>
                <w:webHidden/>
              </w:rPr>
              <w:instrText xml:space="preserve"> PAGEREF _Toc25684082 \h </w:instrText>
            </w:r>
            <w:r w:rsidR="006A44FB">
              <w:rPr>
                <w:noProof/>
                <w:webHidden/>
              </w:rPr>
            </w:r>
            <w:r w:rsidR="006A44FB">
              <w:rPr>
                <w:noProof/>
                <w:webHidden/>
              </w:rPr>
              <w:fldChar w:fldCharType="separate"/>
            </w:r>
            <w:r w:rsidR="006A44FB">
              <w:rPr>
                <w:noProof/>
                <w:webHidden/>
              </w:rPr>
              <w:t>16</w:t>
            </w:r>
            <w:r w:rsidR="006A44FB">
              <w:rPr>
                <w:noProof/>
                <w:webHidden/>
              </w:rPr>
              <w:fldChar w:fldCharType="end"/>
            </w:r>
          </w:hyperlink>
        </w:p>
        <w:p w14:paraId="0D14C49A" w14:textId="44320E31" w:rsidR="006A44FB" w:rsidRDefault="00B70B29">
          <w:pPr>
            <w:pStyle w:val="TOC3"/>
            <w:rPr>
              <w:rFonts w:eastAsiaTheme="minorEastAsia"/>
              <w:noProof/>
              <w:lang w:val="it-IT" w:eastAsia="it-IT"/>
            </w:rPr>
          </w:pPr>
          <w:hyperlink w:anchor="_Toc25684083" w:history="1">
            <w:r w:rsidR="006A44FB" w:rsidRPr="00086952">
              <w:rPr>
                <w:rStyle w:val="Hyperlink"/>
                <w:noProof/>
                <w:lang w:val="en-IE"/>
              </w:rPr>
              <w:t>3.4.1</w:t>
            </w:r>
            <w:r w:rsidR="006A44FB">
              <w:rPr>
                <w:rFonts w:eastAsiaTheme="minorEastAsia"/>
                <w:noProof/>
                <w:lang w:val="it-IT" w:eastAsia="it-IT"/>
              </w:rPr>
              <w:tab/>
            </w:r>
            <w:r w:rsidR="006A44FB" w:rsidRPr="00086952">
              <w:rPr>
                <w:rStyle w:val="Hyperlink"/>
                <w:noProof/>
                <w:lang w:val="en-IE"/>
              </w:rPr>
              <w:t>Specific types of prior information notices</w:t>
            </w:r>
            <w:r w:rsidR="006A44FB">
              <w:rPr>
                <w:noProof/>
                <w:webHidden/>
              </w:rPr>
              <w:tab/>
            </w:r>
            <w:r w:rsidR="006A44FB">
              <w:rPr>
                <w:noProof/>
                <w:webHidden/>
              </w:rPr>
              <w:fldChar w:fldCharType="begin"/>
            </w:r>
            <w:r w:rsidR="006A44FB">
              <w:rPr>
                <w:noProof/>
                <w:webHidden/>
              </w:rPr>
              <w:instrText xml:space="preserve"> PAGEREF _Toc25684083 \h </w:instrText>
            </w:r>
            <w:r w:rsidR="006A44FB">
              <w:rPr>
                <w:noProof/>
                <w:webHidden/>
              </w:rPr>
            </w:r>
            <w:r w:rsidR="006A44FB">
              <w:rPr>
                <w:noProof/>
                <w:webHidden/>
              </w:rPr>
              <w:fldChar w:fldCharType="separate"/>
            </w:r>
            <w:r w:rsidR="006A44FB">
              <w:rPr>
                <w:noProof/>
                <w:webHidden/>
              </w:rPr>
              <w:t>16</w:t>
            </w:r>
            <w:r w:rsidR="006A44FB">
              <w:rPr>
                <w:noProof/>
                <w:webHidden/>
              </w:rPr>
              <w:fldChar w:fldCharType="end"/>
            </w:r>
          </w:hyperlink>
        </w:p>
        <w:p w14:paraId="70C6F3C7" w14:textId="4FE02E07" w:rsidR="006A44FB" w:rsidRDefault="00B70B29" w:rsidP="0060141A">
          <w:pPr>
            <w:pStyle w:val="TOC2"/>
            <w:rPr>
              <w:rFonts w:eastAsiaTheme="minorEastAsia"/>
              <w:noProof/>
              <w:lang w:val="it-IT" w:eastAsia="it-IT"/>
            </w:rPr>
          </w:pPr>
          <w:hyperlink w:anchor="_Toc25684085" w:history="1">
            <w:r w:rsidR="006A44FB" w:rsidRPr="00086952">
              <w:rPr>
                <w:rStyle w:val="Hyperlink"/>
                <w:noProof/>
              </w:rPr>
              <w:t>3.5</w:t>
            </w:r>
            <w:r w:rsidR="006A44FB">
              <w:rPr>
                <w:rFonts w:eastAsiaTheme="minorEastAsia"/>
                <w:noProof/>
                <w:lang w:val="it-IT" w:eastAsia="it-IT"/>
              </w:rPr>
              <w:tab/>
            </w:r>
            <w:r w:rsidR="006A44FB" w:rsidRPr="00086952">
              <w:rPr>
                <w:rStyle w:val="Hyperlink"/>
                <w:noProof/>
                <w:lang w:val="en-IE"/>
              </w:rPr>
              <w:t>Tailoring fields</w:t>
            </w:r>
            <w:r w:rsidR="006A44FB">
              <w:rPr>
                <w:noProof/>
                <w:webHidden/>
              </w:rPr>
              <w:tab/>
            </w:r>
            <w:r w:rsidR="006A44FB">
              <w:rPr>
                <w:noProof/>
                <w:webHidden/>
              </w:rPr>
              <w:fldChar w:fldCharType="begin"/>
            </w:r>
            <w:r w:rsidR="006A44FB">
              <w:rPr>
                <w:noProof/>
                <w:webHidden/>
              </w:rPr>
              <w:instrText xml:space="preserve"> PAGEREF _Toc25684085 \h </w:instrText>
            </w:r>
            <w:r w:rsidR="006A44FB">
              <w:rPr>
                <w:noProof/>
                <w:webHidden/>
              </w:rPr>
            </w:r>
            <w:r w:rsidR="006A44FB">
              <w:rPr>
                <w:noProof/>
                <w:webHidden/>
              </w:rPr>
              <w:fldChar w:fldCharType="separate"/>
            </w:r>
            <w:r w:rsidR="006A44FB">
              <w:rPr>
                <w:noProof/>
                <w:webHidden/>
              </w:rPr>
              <w:t>16</w:t>
            </w:r>
            <w:r w:rsidR="006A44FB">
              <w:rPr>
                <w:noProof/>
                <w:webHidden/>
              </w:rPr>
              <w:fldChar w:fldCharType="end"/>
            </w:r>
          </w:hyperlink>
        </w:p>
        <w:p w14:paraId="1B82FD1A" w14:textId="1A7DCF65" w:rsidR="006A44FB" w:rsidRDefault="00B70B29">
          <w:pPr>
            <w:pStyle w:val="TOC3"/>
            <w:rPr>
              <w:rFonts w:eastAsiaTheme="minorEastAsia"/>
              <w:noProof/>
              <w:lang w:val="it-IT" w:eastAsia="it-IT"/>
            </w:rPr>
          </w:pPr>
          <w:hyperlink w:anchor="_Toc25684086" w:history="1">
            <w:r w:rsidR="006A44FB" w:rsidRPr="00086952">
              <w:rPr>
                <w:rStyle w:val="Hyperlink"/>
                <w:noProof/>
                <w:lang w:val="en-IE"/>
              </w:rPr>
              <w:t>3.5.1</w:t>
            </w:r>
            <w:r w:rsidR="006A44FB">
              <w:rPr>
                <w:rFonts w:eastAsiaTheme="minorEastAsia"/>
                <w:noProof/>
                <w:lang w:val="it-IT" w:eastAsia="it-IT"/>
              </w:rPr>
              <w:tab/>
            </w:r>
            <w:r w:rsidR="006A44FB" w:rsidRPr="00086952">
              <w:rPr>
                <w:rStyle w:val="Hyperlink"/>
                <w:noProof/>
                <w:lang w:val="en-IE"/>
              </w:rPr>
              <w:t>Making optional fields mandatory, leaving them optional, or not using them at all</w:t>
            </w:r>
            <w:r w:rsidR="006A44FB">
              <w:rPr>
                <w:noProof/>
                <w:webHidden/>
              </w:rPr>
              <w:tab/>
            </w:r>
            <w:r w:rsidR="006A44FB">
              <w:rPr>
                <w:noProof/>
                <w:webHidden/>
              </w:rPr>
              <w:fldChar w:fldCharType="begin"/>
            </w:r>
            <w:r w:rsidR="006A44FB">
              <w:rPr>
                <w:noProof/>
                <w:webHidden/>
              </w:rPr>
              <w:instrText xml:space="preserve"> PAGEREF _Toc25684086 \h </w:instrText>
            </w:r>
            <w:r w:rsidR="006A44FB">
              <w:rPr>
                <w:noProof/>
                <w:webHidden/>
              </w:rPr>
            </w:r>
            <w:r w:rsidR="006A44FB">
              <w:rPr>
                <w:noProof/>
                <w:webHidden/>
              </w:rPr>
              <w:fldChar w:fldCharType="separate"/>
            </w:r>
            <w:r w:rsidR="006A44FB">
              <w:rPr>
                <w:noProof/>
                <w:webHidden/>
              </w:rPr>
              <w:t>16</w:t>
            </w:r>
            <w:r w:rsidR="006A44FB">
              <w:rPr>
                <w:noProof/>
                <w:webHidden/>
              </w:rPr>
              <w:fldChar w:fldCharType="end"/>
            </w:r>
          </w:hyperlink>
        </w:p>
        <w:p w14:paraId="0B347FD4" w14:textId="6148521E" w:rsidR="006A44FB" w:rsidRDefault="00B70B29">
          <w:pPr>
            <w:pStyle w:val="TOC3"/>
            <w:rPr>
              <w:rFonts w:eastAsiaTheme="minorEastAsia"/>
              <w:noProof/>
              <w:lang w:val="it-IT" w:eastAsia="it-IT"/>
            </w:rPr>
          </w:pPr>
          <w:hyperlink w:anchor="_Toc25684087" w:history="1">
            <w:r w:rsidR="006A44FB" w:rsidRPr="00086952">
              <w:rPr>
                <w:rStyle w:val="Hyperlink"/>
                <w:noProof/>
                <w:lang w:val="en-IE"/>
              </w:rPr>
              <w:t>3.5.2</w:t>
            </w:r>
            <w:r w:rsidR="006A44FB">
              <w:rPr>
                <w:rFonts w:eastAsiaTheme="minorEastAsia"/>
                <w:noProof/>
                <w:lang w:val="it-IT" w:eastAsia="it-IT"/>
              </w:rPr>
              <w:tab/>
            </w:r>
            <w:r w:rsidR="006A44FB" w:rsidRPr="00086952">
              <w:rPr>
                <w:rStyle w:val="Hyperlink"/>
                <w:noProof/>
                <w:lang w:val="en-IE"/>
              </w:rPr>
              <w:t>Making certain fields always or never published, not case by case</w:t>
            </w:r>
            <w:r w:rsidR="006A44FB">
              <w:rPr>
                <w:noProof/>
                <w:webHidden/>
              </w:rPr>
              <w:tab/>
            </w:r>
            <w:r w:rsidR="006A44FB">
              <w:rPr>
                <w:noProof/>
                <w:webHidden/>
              </w:rPr>
              <w:fldChar w:fldCharType="begin"/>
            </w:r>
            <w:r w:rsidR="006A44FB">
              <w:rPr>
                <w:noProof/>
                <w:webHidden/>
              </w:rPr>
              <w:instrText xml:space="preserve"> PAGEREF _Toc25684087 \h </w:instrText>
            </w:r>
            <w:r w:rsidR="006A44FB">
              <w:rPr>
                <w:noProof/>
                <w:webHidden/>
              </w:rPr>
            </w:r>
            <w:r w:rsidR="006A44FB">
              <w:rPr>
                <w:noProof/>
                <w:webHidden/>
              </w:rPr>
              <w:fldChar w:fldCharType="separate"/>
            </w:r>
            <w:r w:rsidR="006A44FB">
              <w:rPr>
                <w:noProof/>
                <w:webHidden/>
              </w:rPr>
              <w:t>17</w:t>
            </w:r>
            <w:r w:rsidR="006A44FB">
              <w:rPr>
                <w:noProof/>
                <w:webHidden/>
              </w:rPr>
              <w:fldChar w:fldCharType="end"/>
            </w:r>
          </w:hyperlink>
        </w:p>
        <w:p w14:paraId="78189006" w14:textId="3A673CDC" w:rsidR="006A44FB" w:rsidRDefault="00B70B29">
          <w:pPr>
            <w:pStyle w:val="TOC3"/>
            <w:rPr>
              <w:rFonts w:eastAsiaTheme="minorEastAsia"/>
              <w:noProof/>
              <w:lang w:val="it-IT" w:eastAsia="it-IT"/>
            </w:rPr>
          </w:pPr>
          <w:hyperlink w:anchor="_Toc25684088" w:history="1">
            <w:r w:rsidR="006A44FB" w:rsidRPr="00086952">
              <w:rPr>
                <w:rStyle w:val="Hyperlink"/>
                <w:noProof/>
                <w:lang w:val="en-IE"/>
              </w:rPr>
              <w:t>3.5.3</w:t>
            </w:r>
            <w:r w:rsidR="006A44FB">
              <w:rPr>
                <w:rFonts w:eastAsiaTheme="minorEastAsia"/>
                <w:noProof/>
                <w:lang w:val="it-IT" w:eastAsia="it-IT"/>
              </w:rPr>
              <w:tab/>
            </w:r>
            <w:r w:rsidR="006A44FB" w:rsidRPr="00086952">
              <w:rPr>
                <w:rStyle w:val="Hyperlink"/>
                <w:noProof/>
                <w:lang w:val="en-IE"/>
              </w:rPr>
              <w:t>Making certain fields always identical for the whole procedure, not differentiable per lot</w:t>
            </w:r>
            <w:r w:rsidR="006A44FB">
              <w:rPr>
                <w:noProof/>
                <w:webHidden/>
              </w:rPr>
              <w:tab/>
            </w:r>
            <w:r w:rsidR="00C45F03">
              <w:rPr>
                <w:noProof/>
                <w:webHidden/>
              </w:rPr>
              <w:tab/>
            </w:r>
            <w:r w:rsidR="006A44FB">
              <w:rPr>
                <w:noProof/>
                <w:webHidden/>
              </w:rPr>
              <w:fldChar w:fldCharType="begin"/>
            </w:r>
            <w:r w:rsidR="006A44FB">
              <w:rPr>
                <w:noProof/>
                <w:webHidden/>
              </w:rPr>
              <w:instrText xml:space="preserve"> PAGEREF _Toc25684088 \h </w:instrText>
            </w:r>
            <w:r w:rsidR="006A44FB">
              <w:rPr>
                <w:noProof/>
                <w:webHidden/>
              </w:rPr>
            </w:r>
            <w:r w:rsidR="006A44FB">
              <w:rPr>
                <w:noProof/>
                <w:webHidden/>
              </w:rPr>
              <w:fldChar w:fldCharType="separate"/>
            </w:r>
            <w:r w:rsidR="006A44FB">
              <w:rPr>
                <w:noProof/>
                <w:webHidden/>
              </w:rPr>
              <w:t>17</w:t>
            </w:r>
            <w:r w:rsidR="006A44FB">
              <w:rPr>
                <w:noProof/>
                <w:webHidden/>
              </w:rPr>
              <w:fldChar w:fldCharType="end"/>
            </w:r>
          </w:hyperlink>
        </w:p>
        <w:p w14:paraId="615A363B" w14:textId="3FA9673A" w:rsidR="006A44FB" w:rsidRDefault="00B70B29" w:rsidP="0060141A">
          <w:pPr>
            <w:pStyle w:val="TOC2"/>
            <w:rPr>
              <w:rFonts w:eastAsiaTheme="minorEastAsia"/>
              <w:noProof/>
              <w:lang w:val="it-IT" w:eastAsia="it-IT"/>
            </w:rPr>
          </w:pPr>
          <w:hyperlink w:anchor="_Toc25684089" w:history="1">
            <w:r w:rsidR="006A44FB" w:rsidRPr="00086952">
              <w:rPr>
                <w:rStyle w:val="Hyperlink"/>
                <w:noProof/>
              </w:rPr>
              <w:t>3.6</w:t>
            </w:r>
            <w:r w:rsidR="006A44FB">
              <w:rPr>
                <w:rFonts w:eastAsiaTheme="minorEastAsia"/>
                <w:noProof/>
                <w:lang w:val="it-IT" w:eastAsia="it-IT"/>
              </w:rPr>
              <w:tab/>
            </w:r>
            <w:r w:rsidR="006A44FB" w:rsidRPr="00086952">
              <w:rPr>
                <w:rStyle w:val="Hyperlink"/>
                <w:noProof/>
                <w:lang w:val="en-IE"/>
              </w:rPr>
              <w:t>Tailoring codelists</w:t>
            </w:r>
            <w:r w:rsidR="006A44FB">
              <w:rPr>
                <w:noProof/>
                <w:webHidden/>
              </w:rPr>
              <w:tab/>
            </w:r>
            <w:r w:rsidR="006A44FB">
              <w:rPr>
                <w:noProof/>
                <w:webHidden/>
              </w:rPr>
              <w:fldChar w:fldCharType="begin"/>
            </w:r>
            <w:r w:rsidR="006A44FB">
              <w:rPr>
                <w:noProof/>
                <w:webHidden/>
              </w:rPr>
              <w:instrText xml:space="preserve"> PAGEREF _Toc25684089 \h </w:instrText>
            </w:r>
            <w:r w:rsidR="006A44FB">
              <w:rPr>
                <w:noProof/>
                <w:webHidden/>
              </w:rPr>
            </w:r>
            <w:r w:rsidR="006A44FB">
              <w:rPr>
                <w:noProof/>
                <w:webHidden/>
              </w:rPr>
              <w:fldChar w:fldCharType="separate"/>
            </w:r>
            <w:r w:rsidR="006A44FB">
              <w:rPr>
                <w:noProof/>
                <w:webHidden/>
              </w:rPr>
              <w:t>17</w:t>
            </w:r>
            <w:r w:rsidR="006A44FB">
              <w:rPr>
                <w:noProof/>
                <w:webHidden/>
              </w:rPr>
              <w:fldChar w:fldCharType="end"/>
            </w:r>
          </w:hyperlink>
        </w:p>
        <w:p w14:paraId="5CDF5F9B" w14:textId="6B33A74D" w:rsidR="006A44FB" w:rsidRDefault="00B70B29" w:rsidP="0060141A">
          <w:pPr>
            <w:pStyle w:val="TOC2"/>
            <w:rPr>
              <w:rFonts w:eastAsiaTheme="minorEastAsia"/>
              <w:noProof/>
              <w:lang w:val="it-IT" w:eastAsia="it-IT"/>
            </w:rPr>
          </w:pPr>
          <w:hyperlink w:anchor="_Toc25684090" w:history="1">
            <w:r w:rsidR="006A44FB" w:rsidRPr="00086952">
              <w:rPr>
                <w:rStyle w:val="Hyperlink"/>
                <w:noProof/>
              </w:rPr>
              <w:t>3.7</w:t>
            </w:r>
            <w:r w:rsidR="006A44FB">
              <w:rPr>
                <w:rFonts w:eastAsiaTheme="minorEastAsia"/>
                <w:noProof/>
                <w:lang w:val="it-IT" w:eastAsia="it-IT"/>
              </w:rPr>
              <w:tab/>
            </w:r>
            <w:r w:rsidR="006A44FB" w:rsidRPr="00086952">
              <w:rPr>
                <w:rStyle w:val="Hyperlink"/>
                <w:noProof/>
                <w:lang w:val="en-IE"/>
              </w:rPr>
              <w:t>Tailoring identifiers</w:t>
            </w:r>
            <w:r w:rsidR="006A44FB">
              <w:rPr>
                <w:noProof/>
                <w:webHidden/>
              </w:rPr>
              <w:tab/>
            </w:r>
            <w:r w:rsidR="006A44FB">
              <w:rPr>
                <w:noProof/>
                <w:webHidden/>
              </w:rPr>
              <w:fldChar w:fldCharType="begin"/>
            </w:r>
            <w:r w:rsidR="006A44FB">
              <w:rPr>
                <w:noProof/>
                <w:webHidden/>
              </w:rPr>
              <w:instrText xml:space="preserve"> PAGEREF _Toc25684090 \h </w:instrText>
            </w:r>
            <w:r w:rsidR="006A44FB">
              <w:rPr>
                <w:noProof/>
                <w:webHidden/>
              </w:rPr>
            </w:r>
            <w:r w:rsidR="006A44FB">
              <w:rPr>
                <w:noProof/>
                <w:webHidden/>
              </w:rPr>
              <w:fldChar w:fldCharType="separate"/>
            </w:r>
            <w:r w:rsidR="006A44FB">
              <w:rPr>
                <w:noProof/>
                <w:webHidden/>
              </w:rPr>
              <w:t>18</w:t>
            </w:r>
            <w:r w:rsidR="006A44FB">
              <w:rPr>
                <w:noProof/>
                <w:webHidden/>
              </w:rPr>
              <w:fldChar w:fldCharType="end"/>
            </w:r>
          </w:hyperlink>
        </w:p>
        <w:p w14:paraId="0063A5EA" w14:textId="25F15410" w:rsidR="006A44FB" w:rsidRDefault="00B70B29">
          <w:pPr>
            <w:pStyle w:val="TOC3"/>
            <w:rPr>
              <w:rFonts w:eastAsiaTheme="minorEastAsia"/>
              <w:noProof/>
              <w:lang w:val="it-IT" w:eastAsia="it-IT"/>
            </w:rPr>
          </w:pPr>
          <w:hyperlink w:anchor="_Toc25684091" w:history="1">
            <w:r w:rsidR="006A44FB" w:rsidRPr="00086952">
              <w:rPr>
                <w:rStyle w:val="Hyperlink"/>
                <w:noProof/>
                <w:lang w:val="en-IE"/>
              </w:rPr>
              <w:t>3.7.1</w:t>
            </w:r>
            <w:r w:rsidR="006A44FB">
              <w:rPr>
                <w:rFonts w:eastAsiaTheme="minorEastAsia"/>
                <w:noProof/>
                <w:lang w:val="it-IT" w:eastAsia="it-IT"/>
              </w:rPr>
              <w:tab/>
            </w:r>
            <w:r w:rsidR="006A44FB" w:rsidRPr="00086952">
              <w:rPr>
                <w:rStyle w:val="Hyperlink"/>
                <w:noProof/>
                <w:lang w:val="en-IE"/>
              </w:rPr>
              <w:t>Organisation Identifier</w:t>
            </w:r>
            <w:r w:rsidR="006A44FB">
              <w:rPr>
                <w:noProof/>
                <w:webHidden/>
              </w:rPr>
              <w:tab/>
            </w:r>
            <w:r w:rsidR="006A44FB">
              <w:rPr>
                <w:noProof/>
                <w:webHidden/>
              </w:rPr>
              <w:fldChar w:fldCharType="begin"/>
            </w:r>
            <w:r w:rsidR="006A44FB">
              <w:rPr>
                <w:noProof/>
                <w:webHidden/>
              </w:rPr>
              <w:instrText xml:space="preserve"> PAGEREF _Toc25684091 \h </w:instrText>
            </w:r>
            <w:r w:rsidR="006A44FB">
              <w:rPr>
                <w:noProof/>
                <w:webHidden/>
              </w:rPr>
            </w:r>
            <w:r w:rsidR="006A44FB">
              <w:rPr>
                <w:noProof/>
                <w:webHidden/>
              </w:rPr>
              <w:fldChar w:fldCharType="separate"/>
            </w:r>
            <w:r w:rsidR="006A44FB">
              <w:rPr>
                <w:noProof/>
                <w:webHidden/>
              </w:rPr>
              <w:t>18</w:t>
            </w:r>
            <w:r w:rsidR="006A44FB">
              <w:rPr>
                <w:noProof/>
                <w:webHidden/>
              </w:rPr>
              <w:fldChar w:fldCharType="end"/>
            </w:r>
          </w:hyperlink>
        </w:p>
        <w:p w14:paraId="09E0A501" w14:textId="0FA6C4CB" w:rsidR="006A44FB" w:rsidRDefault="00B70B29">
          <w:pPr>
            <w:pStyle w:val="TOC3"/>
            <w:rPr>
              <w:rFonts w:eastAsiaTheme="minorEastAsia"/>
              <w:noProof/>
              <w:lang w:val="it-IT" w:eastAsia="it-IT"/>
            </w:rPr>
          </w:pPr>
          <w:hyperlink w:anchor="_Toc25684092" w:history="1">
            <w:r w:rsidR="006A44FB" w:rsidRPr="00086952">
              <w:rPr>
                <w:rStyle w:val="Hyperlink"/>
                <w:noProof/>
                <w:lang w:val="fr-BE"/>
              </w:rPr>
              <w:t>3.7.2</w:t>
            </w:r>
            <w:r w:rsidR="006A44FB">
              <w:rPr>
                <w:rFonts w:eastAsiaTheme="minorEastAsia"/>
                <w:noProof/>
                <w:lang w:val="it-IT" w:eastAsia="it-IT"/>
              </w:rPr>
              <w:tab/>
            </w:r>
            <w:r w:rsidR="006A44FB" w:rsidRPr="00086952">
              <w:rPr>
                <w:rStyle w:val="Hyperlink"/>
                <w:noProof/>
                <w:lang w:val="fr-BE"/>
              </w:rPr>
              <w:t>Contract EU Funds Identifier</w:t>
            </w:r>
            <w:r w:rsidR="006A44FB">
              <w:rPr>
                <w:noProof/>
                <w:webHidden/>
              </w:rPr>
              <w:tab/>
            </w:r>
            <w:r w:rsidR="006A44FB">
              <w:rPr>
                <w:noProof/>
                <w:webHidden/>
              </w:rPr>
              <w:fldChar w:fldCharType="begin"/>
            </w:r>
            <w:r w:rsidR="006A44FB">
              <w:rPr>
                <w:noProof/>
                <w:webHidden/>
              </w:rPr>
              <w:instrText xml:space="preserve"> PAGEREF _Toc25684092 \h </w:instrText>
            </w:r>
            <w:r w:rsidR="006A44FB">
              <w:rPr>
                <w:noProof/>
                <w:webHidden/>
              </w:rPr>
            </w:r>
            <w:r w:rsidR="006A44FB">
              <w:rPr>
                <w:noProof/>
                <w:webHidden/>
              </w:rPr>
              <w:fldChar w:fldCharType="separate"/>
            </w:r>
            <w:r w:rsidR="006A44FB">
              <w:rPr>
                <w:noProof/>
                <w:webHidden/>
              </w:rPr>
              <w:t>18</w:t>
            </w:r>
            <w:r w:rsidR="006A44FB">
              <w:rPr>
                <w:noProof/>
                <w:webHidden/>
              </w:rPr>
              <w:fldChar w:fldCharType="end"/>
            </w:r>
          </w:hyperlink>
        </w:p>
        <w:p w14:paraId="0A26C42D" w14:textId="4A611F99" w:rsidR="006A44FB" w:rsidRDefault="00B70B29" w:rsidP="0060141A">
          <w:pPr>
            <w:pStyle w:val="TOC2"/>
            <w:rPr>
              <w:rFonts w:eastAsiaTheme="minorEastAsia"/>
              <w:noProof/>
              <w:lang w:val="it-IT" w:eastAsia="it-IT"/>
            </w:rPr>
          </w:pPr>
          <w:hyperlink w:anchor="_Toc25684094" w:history="1">
            <w:r w:rsidR="006A44FB" w:rsidRPr="00086952">
              <w:rPr>
                <w:rStyle w:val="Hyperlink"/>
                <w:noProof/>
              </w:rPr>
              <w:t>3.8</w:t>
            </w:r>
            <w:r w:rsidR="006A44FB">
              <w:rPr>
                <w:rFonts w:eastAsiaTheme="minorEastAsia"/>
                <w:noProof/>
                <w:lang w:val="it-IT" w:eastAsia="it-IT"/>
              </w:rPr>
              <w:tab/>
            </w:r>
            <w:r w:rsidR="006A44FB" w:rsidRPr="00086952">
              <w:rPr>
                <w:rStyle w:val="Hyperlink"/>
                <w:noProof/>
                <w:lang w:val="en-IE"/>
              </w:rPr>
              <w:t>Tailoring business rules</w:t>
            </w:r>
            <w:r w:rsidR="006A44FB">
              <w:rPr>
                <w:noProof/>
                <w:webHidden/>
              </w:rPr>
              <w:tab/>
            </w:r>
            <w:r w:rsidR="006A44FB">
              <w:rPr>
                <w:noProof/>
                <w:webHidden/>
              </w:rPr>
              <w:fldChar w:fldCharType="begin"/>
            </w:r>
            <w:r w:rsidR="006A44FB">
              <w:rPr>
                <w:noProof/>
                <w:webHidden/>
              </w:rPr>
              <w:instrText xml:space="preserve"> PAGEREF _Toc25684094 \h </w:instrText>
            </w:r>
            <w:r w:rsidR="006A44FB">
              <w:rPr>
                <w:noProof/>
                <w:webHidden/>
              </w:rPr>
            </w:r>
            <w:r w:rsidR="006A44FB">
              <w:rPr>
                <w:noProof/>
                <w:webHidden/>
              </w:rPr>
              <w:fldChar w:fldCharType="separate"/>
            </w:r>
            <w:r w:rsidR="006A44FB">
              <w:rPr>
                <w:noProof/>
                <w:webHidden/>
              </w:rPr>
              <w:t>19</w:t>
            </w:r>
            <w:r w:rsidR="006A44FB">
              <w:rPr>
                <w:noProof/>
                <w:webHidden/>
              </w:rPr>
              <w:fldChar w:fldCharType="end"/>
            </w:r>
          </w:hyperlink>
        </w:p>
        <w:p w14:paraId="0C40A5AB" w14:textId="581A2F80" w:rsidR="006A44FB" w:rsidRDefault="00B70B29" w:rsidP="0060141A">
          <w:pPr>
            <w:pStyle w:val="TOC2"/>
            <w:rPr>
              <w:rFonts w:eastAsiaTheme="minorEastAsia"/>
              <w:noProof/>
              <w:lang w:val="it-IT" w:eastAsia="it-IT"/>
            </w:rPr>
          </w:pPr>
          <w:hyperlink w:anchor="_Toc25684095" w:history="1">
            <w:r w:rsidR="006A44FB" w:rsidRPr="00086952">
              <w:rPr>
                <w:rStyle w:val="Hyperlink"/>
                <w:noProof/>
              </w:rPr>
              <w:t>3.9</w:t>
            </w:r>
            <w:r w:rsidR="006A44FB">
              <w:rPr>
                <w:rFonts w:eastAsiaTheme="minorEastAsia"/>
                <w:noProof/>
                <w:lang w:val="it-IT" w:eastAsia="it-IT"/>
              </w:rPr>
              <w:tab/>
            </w:r>
            <w:r w:rsidR="006A44FB" w:rsidRPr="00086952">
              <w:rPr>
                <w:rStyle w:val="Hyperlink"/>
                <w:noProof/>
                <w:lang w:val="en-IE"/>
              </w:rPr>
              <w:t>Tailoring labels</w:t>
            </w:r>
            <w:r w:rsidR="006A44FB">
              <w:rPr>
                <w:noProof/>
                <w:webHidden/>
              </w:rPr>
              <w:tab/>
            </w:r>
            <w:r w:rsidR="006A44FB">
              <w:rPr>
                <w:noProof/>
                <w:webHidden/>
              </w:rPr>
              <w:fldChar w:fldCharType="begin"/>
            </w:r>
            <w:r w:rsidR="006A44FB">
              <w:rPr>
                <w:noProof/>
                <w:webHidden/>
              </w:rPr>
              <w:instrText xml:space="preserve"> PAGEREF _Toc25684095 \h </w:instrText>
            </w:r>
            <w:r w:rsidR="006A44FB">
              <w:rPr>
                <w:noProof/>
                <w:webHidden/>
              </w:rPr>
            </w:r>
            <w:r w:rsidR="006A44FB">
              <w:rPr>
                <w:noProof/>
                <w:webHidden/>
              </w:rPr>
              <w:fldChar w:fldCharType="separate"/>
            </w:r>
            <w:r w:rsidR="006A44FB">
              <w:rPr>
                <w:noProof/>
                <w:webHidden/>
              </w:rPr>
              <w:t>20</w:t>
            </w:r>
            <w:r w:rsidR="006A44FB">
              <w:rPr>
                <w:noProof/>
                <w:webHidden/>
              </w:rPr>
              <w:fldChar w:fldCharType="end"/>
            </w:r>
          </w:hyperlink>
        </w:p>
        <w:p w14:paraId="2720459A" w14:textId="6F6BEA83" w:rsidR="006A44FB" w:rsidRDefault="00B70B29">
          <w:pPr>
            <w:pStyle w:val="TOC1"/>
            <w:rPr>
              <w:rFonts w:eastAsiaTheme="minorEastAsia"/>
              <w:noProof/>
              <w:lang w:val="it-IT" w:eastAsia="it-IT"/>
            </w:rPr>
          </w:pPr>
          <w:hyperlink w:anchor="_Toc25684096" w:history="1">
            <w:r w:rsidR="006A44FB" w:rsidRPr="00086952">
              <w:rPr>
                <w:rStyle w:val="Hyperlink"/>
                <w:rFonts w:eastAsia="Times New Roman"/>
                <w:noProof/>
                <w:lang w:val="en-IE"/>
              </w:rPr>
              <w:t>4</w:t>
            </w:r>
            <w:r w:rsidR="006A44FB">
              <w:rPr>
                <w:rFonts w:eastAsiaTheme="minorEastAsia"/>
                <w:noProof/>
                <w:lang w:val="it-IT" w:eastAsia="it-IT"/>
              </w:rPr>
              <w:tab/>
            </w:r>
            <w:r w:rsidR="006A44FB" w:rsidRPr="00086952">
              <w:rPr>
                <w:rStyle w:val="Hyperlink"/>
                <w:rFonts w:eastAsia="Times New Roman"/>
                <w:noProof/>
                <w:lang w:val="en-IE"/>
              </w:rPr>
              <w:t>Implementing eForms</w:t>
            </w:r>
            <w:r w:rsidR="006A44FB">
              <w:rPr>
                <w:noProof/>
                <w:webHidden/>
              </w:rPr>
              <w:tab/>
            </w:r>
            <w:r w:rsidR="006A44FB">
              <w:rPr>
                <w:noProof/>
                <w:webHidden/>
              </w:rPr>
              <w:fldChar w:fldCharType="begin"/>
            </w:r>
            <w:r w:rsidR="006A44FB">
              <w:rPr>
                <w:noProof/>
                <w:webHidden/>
              </w:rPr>
              <w:instrText xml:space="preserve"> PAGEREF _Toc25684096 \h </w:instrText>
            </w:r>
            <w:r w:rsidR="006A44FB">
              <w:rPr>
                <w:noProof/>
                <w:webHidden/>
              </w:rPr>
            </w:r>
            <w:r w:rsidR="006A44FB">
              <w:rPr>
                <w:noProof/>
                <w:webHidden/>
              </w:rPr>
              <w:fldChar w:fldCharType="separate"/>
            </w:r>
            <w:r w:rsidR="006A44FB">
              <w:rPr>
                <w:noProof/>
                <w:webHidden/>
              </w:rPr>
              <w:t>21</w:t>
            </w:r>
            <w:r w:rsidR="006A44FB">
              <w:rPr>
                <w:noProof/>
                <w:webHidden/>
              </w:rPr>
              <w:fldChar w:fldCharType="end"/>
            </w:r>
          </w:hyperlink>
        </w:p>
        <w:p w14:paraId="1C1AE587" w14:textId="37C7735F" w:rsidR="006A44FB" w:rsidRDefault="00B70B29" w:rsidP="0060141A">
          <w:pPr>
            <w:pStyle w:val="TOC2"/>
            <w:rPr>
              <w:rFonts w:eastAsiaTheme="minorEastAsia"/>
              <w:noProof/>
              <w:lang w:val="it-IT" w:eastAsia="it-IT"/>
            </w:rPr>
          </w:pPr>
          <w:hyperlink w:anchor="_Toc25684097" w:history="1">
            <w:r w:rsidR="006A44FB" w:rsidRPr="00086952">
              <w:rPr>
                <w:rStyle w:val="Hyperlink"/>
                <w:noProof/>
              </w:rPr>
              <w:t>4.1</w:t>
            </w:r>
            <w:r w:rsidR="006A44FB">
              <w:rPr>
                <w:rFonts w:eastAsiaTheme="minorEastAsia"/>
                <w:noProof/>
                <w:lang w:val="it-IT" w:eastAsia="it-IT"/>
              </w:rPr>
              <w:tab/>
            </w:r>
            <w:r w:rsidR="006A44FB" w:rsidRPr="00086952">
              <w:rPr>
                <w:rStyle w:val="Hyperlink"/>
                <w:noProof/>
                <w:lang w:val="en-IE"/>
              </w:rPr>
              <w:t>Creating and sending (prefilled) notices</w:t>
            </w:r>
            <w:r w:rsidR="006A44FB">
              <w:rPr>
                <w:noProof/>
                <w:webHidden/>
              </w:rPr>
              <w:tab/>
            </w:r>
            <w:r w:rsidR="006A44FB">
              <w:rPr>
                <w:noProof/>
                <w:webHidden/>
              </w:rPr>
              <w:fldChar w:fldCharType="begin"/>
            </w:r>
            <w:r w:rsidR="006A44FB">
              <w:rPr>
                <w:noProof/>
                <w:webHidden/>
              </w:rPr>
              <w:instrText xml:space="preserve"> PAGEREF _Toc25684097 \h </w:instrText>
            </w:r>
            <w:r w:rsidR="006A44FB">
              <w:rPr>
                <w:noProof/>
                <w:webHidden/>
              </w:rPr>
            </w:r>
            <w:r w:rsidR="006A44FB">
              <w:rPr>
                <w:noProof/>
                <w:webHidden/>
              </w:rPr>
              <w:fldChar w:fldCharType="separate"/>
            </w:r>
            <w:r w:rsidR="006A44FB">
              <w:rPr>
                <w:noProof/>
                <w:webHidden/>
              </w:rPr>
              <w:t>21</w:t>
            </w:r>
            <w:r w:rsidR="006A44FB">
              <w:rPr>
                <w:noProof/>
                <w:webHidden/>
              </w:rPr>
              <w:fldChar w:fldCharType="end"/>
            </w:r>
          </w:hyperlink>
        </w:p>
        <w:p w14:paraId="4EE4264D" w14:textId="3092E15A" w:rsidR="006A44FB" w:rsidRDefault="00B70B29">
          <w:pPr>
            <w:pStyle w:val="TOC3"/>
            <w:rPr>
              <w:rFonts w:eastAsiaTheme="minorEastAsia"/>
              <w:noProof/>
              <w:lang w:val="it-IT" w:eastAsia="it-IT"/>
            </w:rPr>
          </w:pPr>
          <w:hyperlink w:anchor="_Toc25684098" w:history="1">
            <w:r w:rsidR="006A44FB" w:rsidRPr="00086952">
              <w:rPr>
                <w:rStyle w:val="Hyperlink"/>
                <w:noProof/>
                <w:lang w:val="en-IE"/>
              </w:rPr>
              <w:t>4.1.1</w:t>
            </w:r>
            <w:r w:rsidR="006A44FB">
              <w:rPr>
                <w:rFonts w:eastAsiaTheme="minorEastAsia"/>
                <w:noProof/>
                <w:lang w:val="it-IT" w:eastAsia="it-IT"/>
              </w:rPr>
              <w:tab/>
            </w:r>
            <w:r w:rsidR="006A44FB" w:rsidRPr="00086952">
              <w:rPr>
                <w:rStyle w:val="Hyperlink"/>
                <w:noProof/>
                <w:lang w:val="en-IE"/>
              </w:rPr>
              <w:t>eForms</w:t>
            </w:r>
            <w:r w:rsidR="006A44FB">
              <w:rPr>
                <w:noProof/>
                <w:webHidden/>
              </w:rPr>
              <w:tab/>
            </w:r>
            <w:r w:rsidR="006A44FB">
              <w:rPr>
                <w:noProof/>
                <w:webHidden/>
              </w:rPr>
              <w:fldChar w:fldCharType="begin"/>
            </w:r>
            <w:r w:rsidR="006A44FB">
              <w:rPr>
                <w:noProof/>
                <w:webHidden/>
              </w:rPr>
              <w:instrText xml:space="preserve"> PAGEREF _Toc25684098 \h </w:instrText>
            </w:r>
            <w:r w:rsidR="006A44FB">
              <w:rPr>
                <w:noProof/>
                <w:webHidden/>
              </w:rPr>
            </w:r>
            <w:r w:rsidR="006A44FB">
              <w:rPr>
                <w:noProof/>
                <w:webHidden/>
              </w:rPr>
              <w:fldChar w:fldCharType="separate"/>
            </w:r>
            <w:r w:rsidR="006A44FB">
              <w:rPr>
                <w:noProof/>
                <w:webHidden/>
              </w:rPr>
              <w:t>22</w:t>
            </w:r>
            <w:r w:rsidR="006A44FB">
              <w:rPr>
                <w:noProof/>
                <w:webHidden/>
              </w:rPr>
              <w:fldChar w:fldCharType="end"/>
            </w:r>
          </w:hyperlink>
        </w:p>
        <w:p w14:paraId="219E2749" w14:textId="54E0E52C" w:rsidR="006A44FB" w:rsidRDefault="00B70B29">
          <w:pPr>
            <w:pStyle w:val="TOC3"/>
            <w:rPr>
              <w:rFonts w:eastAsiaTheme="minorEastAsia"/>
              <w:noProof/>
              <w:lang w:val="it-IT" w:eastAsia="it-IT"/>
            </w:rPr>
          </w:pPr>
          <w:hyperlink w:anchor="_Toc25684099" w:history="1">
            <w:r w:rsidR="006A44FB" w:rsidRPr="00086952">
              <w:rPr>
                <w:rStyle w:val="Hyperlink"/>
                <w:noProof/>
                <w:lang w:val="en-IE"/>
              </w:rPr>
              <w:t>4.1.2</w:t>
            </w:r>
            <w:r w:rsidR="006A44FB">
              <w:rPr>
                <w:rFonts w:eastAsiaTheme="minorEastAsia"/>
                <w:noProof/>
                <w:lang w:val="it-IT" w:eastAsia="it-IT"/>
              </w:rPr>
              <w:tab/>
            </w:r>
            <w:r w:rsidR="006A44FB" w:rsidRPr="00086952">
              <w:rPr>
                <w:rStyle w:val="Hyperlink"/>
                <w:noProof/>
                <w:lang w:val="en-IE"/>
              </w:rPr>
              <w:t>eProcurement systems</w:t>
            </w:r>
            <w:r w:rsidR="006A44FB">
              <w:rPr>
                <w:noProof/>
                <w:webHidden/>
              </w:rPr>
              <w:tab/>
            </w:r>
            <w:r w:rsidR="006A44FB">
              <w:rPr>
                <w:noProof/>
                <w:webHidden/>
              </w:rPr>
              <w:fldChar w:fldCharType="begin"/>
            </w:r>
            <w:r w:rsidR="006A44FB">
              <w:rPr>
                <w:noProof/>
                <w:webHidden/>
              </w:rPr>
              <w:instrText xml:space="preserve"> PAGEREF _Toc25684099 \h </w:instrText>
            </w:r>
            <w:r w:rsidR="006A44FB">
              <w:rPr>
                <w:noProof/>
                <w:webHidden/>
              </w:rPr>
            </w:r>
            <w:r w:rsidR="006A44FB">
              <w:rPr>
                <w:noProof/>
                <w:webHidden/>
              </w:rPr>
              <w:fldChar w:fldCharType="separate"/>
            </w:r>
            <w:r w:rsidR="006A44FB">
              <w:rPr>
                <w:noProof/>
                <w:webHidden/>
              </w:rPr>
              <w:t>23</w:t>
            </w:r>
            <w:r w:rsidR="006A44FB">
              <w:rPr>
                <w:noProof/>
                <w:webHidden/>
              </w:rPr>
              <w:fldChar w:fldCharType="end"/>
            </w:r>
          </w:hyperlink>
        </w:p>
        <w:p w14:paraId="4B55EC71" w14:textId="15D7B04B" w:rsidR="006A44FB" w:rsidRDefault="00B70B29">
          <w:pPr>
            <w:pStyle w:val="TOC3"/>
            <w:rPr>
              <w:rFonts w:eastAsiaTheme="minorEastAsia"/>
              <w:noProof/>
              <w:lang w:val="it-IT" w:eastAsia="it-IT"/>
            </w:rPr>
          </w:pPr>
          <w:hyperlink w:anchor="_Toc25684100" w:history="1">
            <w:r w:rsidR="006A44FB" w:rsidRPr="00086952">
              <w:rPr>
                <w:rStyle w:val="Hyperlink"/>
                <w:noProof/>
                <w:lang w:val="en-IE"/>
              </w:rPr>
              <w:t>4.1.3</w:t>
            </w:r>
            <w:r w:rsidR="006A44FB">
              <w:rPr>
                <w:rFonts w:eastAsiaTheme="minorEastAsia"/>
                <w:noProof/>
                <w:lang w:val="it-IT" w:eastAsia="it-IT"/>
              </w:rPr>
              <w:tab/>
            </w:r>
            <w:r w:rsidR="006A44FB" w:rsidRPr="00086952">
              <w:rPr>
                <w:rStyle w:val="Hyperlink"/>
                <w:noProof/>
                <w:lang w:val="en-IE"/>
              </w:rPr>
              <w:t>eGovernment systems</w:t>
            </w:r>
            <w:r w:rsidR="006A44FB">
              <w:rPr>
                <w:noProof/>
                <w:webHidden/>
              </w:rPr>
              <w:tab/>
            </w:r>
            <w:r w:rsidR="006A44FB">
              <w:rPr>
                <w:noProof/>
                <w:webHidden/>
              </w:rPr>
              <w:fldChar w:fldCharType="begin"/>
            </w:r>
            <w:r w:rsidR="006A44FB">
              <w:rPr>
                <w:noProof/>
                <w:webHidden/>
              </w:rPr>
              <w:instrText xml:space="preserve"> PAGEREF _Toc25684100 \h </w:instrText>
            </w:r>
            <w:r w:rsidR="006A44FB">
              <w:rPr>
                <w:noProof/>
                <w:webHidden/>
              </w:rPr>
            </w:r>
            <w:r w:rsidR="006A44FB">
              <w:rPr>
                <w:noProof/>
                <w:webHidden/>
              </w:rPr>
              <w:fldChar w:fldCharType="separate"/>
            </w:r>
            <w:r w:rsidR="006A44FB">
              <w:rPr>
                <w:noProof/>
                <w:webHidden/>
              </w:rPr>
              <w:t>25</w:t>
            </w:r>
            <w:r w:rsidR="006A44FB">
              <w:rPr>
                <w:noProof/>
                <w:webHidden/>
              </w:rPr>
              <w:fldChar w:fldCharType="end"/>
            </w:r>
          </w:hyperlink>
        </w:p>
        <w:p w14:paraId="3A5C8B7C" w14:textId="5D2A7B03" w:rsidR="006A44FB" w:rsidRDefault="00B70B29" w:rsidP="0060141A">
          <w:pPr>
            <w:pStyle w:val="TOC2"/>
            <w:rPr>
              <w:rFonts w:eastAsiaTheme="minorEastAsia"/>
              <w:noProof/>
              <w:lang w:val="it-IT" w:eastAsia="it-IT"/>
            </w:rPr>
          </w:pPr>
          <w:hyperlink w:anchor="_Toc25684101" w:history="1">
            <w:r w:rsidR="006A44FB" w:rsidRPr="00086952">
              <w:rPr>
                <w:rStyle w:val="Hyperlink"/>
                <w:noProof/>
              </w:rPr>
              <w:t>4.2</w:t>
            </w:r>
            <w:r w:rsidR="006A44FB">
              <w:rPr>
                <w:rFonts w:eastAsiaTheme="minorEastAsia"/>
                <w:noProof/>
                <w:lang w:val="it-IT" w:eastAsia="it-IT"/>
              </w:rPr>
              <w:tab/>
            </w:r>
            <w:r w:rsidR="006A44FB" w:rsidRPr="00086952">
              <w:rPr>
                <w:rStyle w:val="Hyperlink"/>
                <w:noProof/>
                <w:lang w:val="en-IE"/>
              </w:rPr>
              <w:t>Publishing &amp; providing notices</w:t>
            </w:r>
            <w:r w:rsidR="006A44FB">
              <w:rPr>
                <w:noProof/>
                <w:webHidden/>
              </w:rPr>
              <w:tab/>
            </w:r>
            <w:r w:rsidR="006A44FB">
              <w:rPr>
                <w:noProof/>
                <w:webHidden/>
              </w:rPr>
              <w:fldChar w:fldCharType="begin"/>
            </w:r>
            <w:r w:rsidR="006A44FB">
              <w:rPr>
                <w:noProof/>
                <w:webHidden/>
              </w:rPr>
              <w:instrText xml:space="preserve"> PAGEREF _Toc25684101 \h </w:instrText>
            </w:r>
            <w:r w:rsidR="006A44FB">
              <w:rPr>
                <w:noProof/>
                <w:webHidden/>
              </w:rPr>
            </w:r>
            <w:r w:rsidR="006A44FB">
              <w:rPr>
                <w:noProof/>
                <w:webHidden/>
              </w:rPr>
              <w:fldChar w:fldCharType="separate"/>
            </w:r>
            <w:r w:rsidR="006A44FB">
              <w:rPr>
                <w:noProof/>
                <w:webHidden/>
              </w:rPr>
              <w:t>25</w:t>
            </w:r>
            <w:r w:rsidR="006A44FB">
              <w:rPr>
                <w:noProof/>
                <w:webHidden/>
              </w:rPr>
              <w:fldChar w:fldCharType="end"/>
            </w:r>
          </w:hyperlink>
        </w:p>
        <w:p w14:paraId="0B5FE51F" w14:textId="658D1CF5" w:rsidR="006A44FB" w:rsidRDefault="00B70B29" w:rsidP="0060141A">
          <w:pPr>
            <w:pStyle w:val="TOC2"/>
            <w:rPr>
              <w:rFonts w:eastAsiaTheme="minorEastAsia"/>
              <w:noProof/>
              <w:lang w:val="it-IT" w:eastAsia="it-IT"/>
            </w:rPr>
          </w:pPr>
          <w:hyperlink w:anchor="_Toc25684102" w:history="1">
            <w:r w:rsidR="006A44FB" w:rsidRPr="00086952">
              <w:rPr>
                <w:rStyle w:val="Hyperlink"/>
                <w:noProof/>
              </w:rPr>
              <w:t>4.3</w:t>
            </w:r>
            <w:r w:rsidR="006A44FB">
              <w:rPr>
                <w:rFonts w:eastAsiaTheme="minorEastAsia"/>
                <w:noProof/>
                <w:lang w:val="it-IT" w:eastAsia="it-IT"/>
              </w:rPr>
              <w:tab/>
            </w:r>
            <w:r w:rsidR="006A44FB" w:rsidRPr="00086952">
              <w:rPr>
                <w:rStyle w:val="Hyperlink"/>
                <w:noProof/>
                <w:lang w:val="en-IE"/>
              </w:rPr>
              <w:t>Publication portals and sending tools</w:t>
            </w:r>
            <w:r w:rsidR="006A44FB">
              <w:rPr>
                <w:noProof/>
                <w:webHidden/>
              </w:rPr>
              <w:tab/>
            </w:r>
            <w:r w:rsidR="006A44FB">
              <w:rPr>
                <w:noProof/>
                <w:webHidden/>
              </w:rPr>
              <w:fldChar w:fldCharType="begin"/>
            </w:r>
            <w:r w:rsidR="006A44FB">
              <w:rPr>
                <w:noProof/>
                <w:webHidden/>
              </w:rPr>
              <w:instrText xml:space="preserve"> PAGEREF _Toc25684102 \h </w:instrText>
            </w:r>
            <w:r w:rsidR="006A44FB">
              <w:rPr>
                <w:noProof/>
                <w:webHidden/>
              </w:rPr>
            </w:r>
            <w:r w:rsidR="006A44FB">
              <w:rPr>
                <w:noProof/>
                <w:webHidden/>
              </w:rPr>
              <w:fldChar w:fldCharType="separate"/>
            </w:r>
            <w:r w:rsidR="006A44FB">
              <w:rPr>
                <w:noProof/>
                <w:webHidden/>
              </w:rPr>
              <w:t>26</w:t>
            </w:r>
            <w:r w:rsidR="006A44FB">
              <w:rPr>
                <w:noProof/>
                <w:webHidden/>
              </w:rPr>
              <w:fldChar w:fldCharType="end"/>
            </w:r>
          </w:hyperlink>
        </w:p>
        <w:p w14:paraId="78E59E44" w14:textId="49732F89" w:rsidR="006A44FB" w:rsidRDefault="00B70B29">
          <w:pPr>
            <w:pStyle w:val="TOC3"/>
            <w:rPr>
              <w:rFonts w:eastAsiaTheme="minorEastAsia"/>
              <w:noProof/>
              <w:lang w:val="it-IT" w:eastAsia="it-IT"/>
            </w:rPr>
          </w:pPr>
          <w:hyperlink w:anchor="_Toc25684103" w:history="1">
            <w:r w:rsidR="006A44FB" w:rsidRPr="00086952">
              <w:rPr>
                <w:rStyle w:val="Hyperlink"/>
                <w:noProof/>
                <w:lang w:val="en-IE"/>
              </w:rPr>
              <w:t>4.3.1</w:t>
            </w:r>
            <w:r w:rsidR="006A44FB">
              <w:rPr>
                <w:rFonts w:eastAsiaTheme="minorEastAsia"/>
                <w:noProof/>
                <w:lang w:val="it-IT" w:eastAsia="it-IT"/>
              </w:rPr>
              <w:tab/>
            </w:r>
            <w:r w:rsidR="006A44FB" w:rsidRPr="00086952">
              <w:rPr>
                <w:rStyle w:val="Hyperlink"/>
                <w:noProof/>
                <w:lang w:val="en-IE"/>
              </w:rPr>
              <w:t>Publication portals</w:t>
            </w:r>
            <w:r w:rsidR="006A44FB">
              <w:rPr>
                <w:noProof/>
                <w:webHidden/>
              </w:rPr>
              <w:tab/>
            </w:r>
            <w:r w:rsidR="006A44FB">
              <w:rPr>
                <w:noProof/>
                <w:webHidden/>
              </w:rPr>
              <w:fldChar w:fldCharType="begin"/>
            </w:r>
            <w:r w:rsidR="006A44FB">
              <w:rPr>
                <w:noProof/>
                <w:webHidden/>
              </w:rPr>
              <w:instrText xml:space="preserve"> PAGEREF _Toc25684103 \h </w:instrText>
            </w:r>
            <w:r w:rsidR="006A44FB">
              <w:rPr>
                <w:noProof/>
                <w:webHidden/>
              </w:rPr>
            </w:r>
            <w:r w:rsidR="006A44FB">
              <w:rPr>
                <w:noProof/>
                <w:webHidden/>
              </w:rPr>
              <w:fldChar w:fldCharType="separate"/>
            </w:r>
            <w:r w:rsidR="006A44FB">
              <w:rPr>
                <w:noProof/>
                <w:webHidden/>
              </w:rPr>
              <w:t>26</w:t>
            </w:r>
            <w:r w:rsidR="006A44FB">
              <w:rPr>
                <w:noProof/>
                <w:webHidden/>
              </w:rPr>
              <w:fldChar w:fldCharType="end"/>
            </w:r>
          </w:hyperlink>
        </w:p>
        <w:p w14:paraId="1BF585E6" w14:textId="1D67498E" w:rsidR="006A44FB" w:rsidRDefault="00B70B29">
          <w:pPr>
            <w:pStyle w:val="TOC3"/>
            <w:rPr>
              <w:rFonts w:eastAsiaTheme="minorEastAsia"/>
              <w:noProof/>
              <w:lang w:val="it-IT" w:eastAsia="it-IT"/>
            </w:rPr>
          </w:pPr>
          <w:hyperlink w:anchor="_Toc25684104" w:history="1">
            <w:r w:rsidR="006A44FB" w:rsidRPr="00086952">
              <w:rPr>
                <w:rStyle w:val="Hyperlink"/>
                <w:noProof/>
                <w:lang w:val="en-IE"/>
              </w:rPr>
              <w:t>4.3.2</w:t>
            </w:r>
            <w:r w:rsidR="006A44FB">
              <w:rPr>
                <w:rFonts w:eastAsiaTheme="minorEastAsia"/>
                <w:noProof/>
                <w:lang w:val="it-IT" w:eastAsia="it-IT"/>
              </w:rPr>
              <w:tab/>
            </w:r>
            <w:r w:rsidR="006A44FB" w:rsidRPr="00086952">
              <w:rPr>
                <w:rStyle w:val="Hyperlink"/>
                <w:noProof/>
                <w:lang w:val="en-IE"/>
              </w:rPr>
              <w:t>Sending tools</w:t>
            </w:r>
            <w:r w:rsidR="006A44FB">
              <w:rPr>
                <w:noProof/>
                <w:webHidden/>
              </w:rPr>
              <w:tab/>
            </w:r>
            <w:r w:rsidR="006A44FB">
              <w:rPr>
                <w:noProof/>
                <w:webHidden/>
              </w:rPr>
              <w:fldChar w:fldCharType="begin"/>
            </w:r>
            <w:r w:rsidR="006A44FB">
              <w:rPr>
                <w:noProof/>
                <w:webHidden/>
              </w:rPr>
              <w:instrText xml:space="preserve"> PAGEREF _Toc25684104 \h </w:instrText>
            </w:r>
            <w:r w:rsidR="006A44FB">
              <w:rPr>
                <w:noProof/>
                <w:webHidden/>
              </w:rPr>
            </w:r>
            <w:r w:rsidR="006A44FB">
              <w:rPr>
                <w:noProof/>
                <w:webHidden/>
              </w:rPr>
              <w:fldChar w:fldCharType="separate"/>
            </w:r>
            <w:r w:rsidR="006A44FB">
              <w:rPr>
                <w:noProof/>
                <w:webHidden/>
              </w:rPr>
              <w:t>27</w:t>
            </w:r>
            <w:r w:rsidR="006A44FB">
              <w:rPr>
                <w:noProof/>
                <w:webHidden/>
              </w:rPr>
              <w:fldChar w:fldCharType="end"/>
            </w:r>
          </w:hyperlink>
        </w:p>
        <w:p w14:paraId="351E9150" w14:textId="707013E9" w:rsidR="006A44FB" w:rsidRDefault="00B70B29" w:rsidP="0060141A">
          <w:pPr>
            <w:pStyle w:val="TOC2"/>
            <w:rPr>
              <w:rFonts w:eastAsiaTheme="minorEastAsia"/>
              <w:noProof/>
              <w:lang w:val="it-IT" w:eastAsia="it-IT"/>
            </w:rPr>
          </w:pPr>
          <w:hyperlink w:anchor="_Toc25684106" w:history="1">
            <w:r w:rsidR="006A44FB" w:rsidRPr="00086952">
              <w:rPr>
                <w:rStyle w:val="Hyperlink"/>
                <w:noProof/>
              </w:rPr>
              <w:t>4.4</w:t>
            </w:r>
            <w:r w:rsidR="006A44FB">
              <w:rPr>
                <w:rFonts w:eastAsiaTheme="minorEastAsia"/>
                <w:noProof/>
                <w:lang w:val="it-IT" w:eastAsia="it-IT"/>
              </w:rPr>
              <w:tab/>
            </w:r>
            <w:r w:rsidR="006A44FB" w:rsidRPr="00086952">
              <w:rPr>
                <w:rStyle w:val="Hyperlink"/>
                <w:noProof/>
                <w:lang w:val="en-IE"/>
              </w:rPr>
              <w:t>Government provided solution – make, buy, skip</w:t>
            </w:r>
            <w:r w:rsidR="006A44FB">
              <w:rPr>
                <w:noProof/>
                <w:webHidden/>
              </w:rPr>
              <w:tab/>
            </w:r>
            <w:r w:rsidR="006A44FB">
              <w:rPr>
                <w:noProof/>
                <w:webHidden/>
              </w:rPr>
              <w:fldChar w:fldCharType="begin"/>
            </w:r>
            <w:r w:rsidR="006A44FB">
              <w:rPr>
                <w:noProof/>
                <w:webHidden/>
              </w:rPr>
              <w:instrText xml:space="preserve"> PAGEREF _Toc25684106 \h </w:instrText>
            </w:r>
            <w:r w:rsidR="006A44FB">
              <w:rPr>
                <w:noProof/>
                <w:webHidden/>
              </w:rPr>
            </w:r>
            <w:r w:rsidR="006A44FB">
              <w:rPr>
                <w:noProof/>
                <w:webHidden/>
              </w:rPr>
              <w:fldChar w:fldCharType="separate"/>
            </w:r>
            <w:r w:rsidR="006A44FB">
              <w:rPr>
                <w:noProof/>
                <w:webHidden/>
              </w:rPr>
              <w:t>28</w:t>
            </w:r>
            <w:r w:rsidR="006A44FB">
              <w:rPr>
                <w:noProof/>
                <w:webHidden/>
              </w:rPr>
              <w:fldChar w:fldCharType="end"/>
            </w:r>
          </w:hyperlink>
        </w:p>
        <w:p w14:paraId="70B96BD9" w14:textId="7481D2F2" w:rsidR="006A44FB" w:rsidRDefault="00B70B29">
          <w:pPr>
            <w:pStyle w:val="TOC1"/>
            <w:rPr>
              <w:rFonts w:eastAsiaTheme="minorEastAsia"/>
              <w:noProof/>
              <w:lang w:val="it-IT" w:eastAsia="it-IT"/>
            </w:rPr>
          </w:pPr>
          <w:hyperlink w:anchor="_Toc25684107" w:history="1">
            <w:r w:rsidR="006A44FB" w:rsidRPr="00086952">
              <w:rPr>
                <w:rStyle w:val="Hyperlink"/>
                <w:noProof/>
                <w:lang w:val="en-IE"/>
              </w:rPr>
              <w:t>Checklist 1 – Tailoring fields</w:t>
            </w:r>
            <w:r w:rsidR="006A44FB">
              <w:rPr>
                <w:noProof/>
                <w:webHidden/>
              </w:rPr>
              <w:tab/>
            </w:r>
            <w:r w:rsidR="006A44FB">
              <w:rPr>
                <w:noProof/>
                <w:webHidden/>
              </w:rPr>
              <w:fldChar w:fldCharType="begin"/>
            </w:r>
            <w:r w:rsidR="006A44FB">
              <w:rPr>
                <w:noProof/>
                <w:webHidden/>
              </w:rPr>
              <w:instrText xml:space="preserve"> PAGEREF _Toc25684107 \h </w:instrText>
            </w:r>
            <w:r w:rsidR="006A44FB">
              <w:rPr>
                <w:noProof/>
                <w:webHidden/>
              </w:rPr>
            </w:r>
            <w:r w:rsidR="006A44FB">
              <w:rPr>
                <w:noProof/>
                <w:webHidden/>
              </w:rPr>
              <w:fldChar w:fldCharType="separate"/>
            </w:r>
            <w:r w:rsidR="006A44FB">
              <w:rPr>
                <w:noProof/>
                <w:webHidden/>
              </w:rPr>
              <w:t>29</w:t>
            </w:r>
            <w:r w:rsidR="006A44FB">
              <w:rPr>
                <w:noProof/>
                <w:webHidden/>
              </w:rPr>
              <w:fldChar w:fldCharType="end"/>
            </w:r>
          </w:hyperlink>
        </w:p>
        <w:p w14:paraId="146B501B" w14:textId="1328E744" w:rsidR="006A44FB" w:rsidRDefault="00B70B29">
          <w:pPr>
            <w:pStyle w:val="TOC1"/>
            <w:rPr>
              <w:rFonts w:eastAsiaTheme="minorEastAsia"/>
              <w:noProof/>
              <w:lang w:val="it-IT" w:eastAsia="it-IT"/>
            </w:rPr>
          </w:pPr>
          <w:hyperlink w:anchor="_Toc25684108" w:history="1">
            <w:r w:rsidR="006A44FB" w:rsidRPr="00086952">
              <w:rPr>
                <w:rStyle w:val="Hyperlink"/>
                <w:noProof/>
                <w:lang w:val="en-IE"/>
              </w:rPr>
              <w:t>Checklist 2 – Tailoring code lists</w:t>
            </w:r>
            <w:r w:rsidR="006A44FB">
              <w:rPr>
                <w:noProof/>
                <w:webHidden/>
              </w:rPr>
              <w:tab/>
            </w:r>
            <w:r w:rsidR="006A44FB">
              <w:rPr>
                <w:noProof/>
                <w:webHidden/>
              </w:rPr>
              <w:fldChar w:fldCharType="begin"/>
            </w:r>
            <w:r w:rsidR="006A44FB">
              <w:rPr>
                <w:noProof/>
                <w:webHidden/>
              </w:rPr>
              <w:instrText xml:space="preserve"> PAGEREF _Toc25684108 \h </w:instrText>
            </w:r>
            <w:r w:rsidR="006A44FB">
              <w:rPr>
                <w:noProof/>
                <w:webHidden/>
              </w:rPr>
            </w:r>
            <w:r w:rsidR="006A44FB">
              <w:rPr>
                <w:noProof/>
                <w:webHidden/>
              </w:rPr>
              <w:fldChar w:fldCharType="separate"/>
            </w:r>
            <w:r w:rsidR="006A44FB">
              <w:rPr>
                <w:noProof/>
                <w:webHidden/>
              </w:rPr>
              <w:t>46</w:t>
            </w:r>
            <w:r w:rsidR="006A44FB">
              <w:rPr>
                <w:noProof/>
                <w:webHidden/>
              </w:rPr>
              <w:fldChar w:fldCharType="end"/>
            </w:r>
          </w:hyperlink>
        </w:p>
        <w:p w14:paraId="73ECE16A" w14:textId="439B3299" w:rsidR="006A44FB" w:rsidRDefault="00B70B29">
          <w:pPr>
            <w:pStyle w:val="TOC1"/>
            <w:rPr>
              <w:rFonts w:eastAsiaTheme="minorEastAsia"/>
              <w:noProof/>
              <w:lang w:val="it-IT" w:eastAsia="it-IT"/>
            </w:rPr>
          </w:pPr>
          <w:hyperlink w:anchor="_Toc25684109" w:history="1">
            <w:r w:rsidR="006A44FB" w:rsidRPr="00086952">
              <w:rPr>
                <w:rStyle w:val="Hyperlink"/>
                <w:noProof/>
                <w:lang w:val="en-IE"/>
              </w:rPr>
              <w:t>Annex I – Designing the user interface</w:t>
            </w:r>
            <w:r w:rsidR="006A44FB">
              <w:rPr>
                <w:noProof/>
                <w:webHidden/>
              </w:rPr>
              <w:tab/>
            </w:r>
            <w:r w:rsidR="006A44FB">
              <w:rPr>
                <w:noProof/>
                <w:webHidden/>
              </w:rPr>
              <w:fldChar w:fldCharType="begin"/>
            </w:r>
            <w:r w:rsidR="006A44FB">
              <w:rPr>
                <w:noProof/>
                <w:webHidden/>
              </w:rPr>
              <w:instrText xml:space="preserve"> PAGEREF _Toc25684109 \h </w:instrText>
            </w:r>
            <w:r w:rsidR="006A44FB">
              <w:rPr>
                <w:noProof/>
                <w:webHidden/>
              </w:rPr>
            </w:r>
            <w:r w:rsidR="006A44FB">
              <w:rPr>
                <w:noProof/>
                <w:webHidden/>
              </w:rPr>
              <w:fldChar w:fldCharType="separate"/>
            </w:r>
            <w:r w:rsidR="006A44FB">
              <w:rPr>
                <w:noProof/>
                <w:webHidden/>
              </w:rPr>
              <w:t>54</w:t>
            </w:r>
            <w:r w:rsidR="006A44FB">
              <w:rPr>
                <w:noProof/>
                <w:webHidden/>
              </w:rPr>
              <w:fldChar w:fldCharType="end"/>
            </w:r>
          </w:hyperlink>
        </w:p>
        <w:p w14:paraId="619095E5" w14:textId="090CE721" w:rsidR="006A44FB" w:rsidRDefault="00B70B29" w:rsidP="0060141A">
          <w:pPr>
            <w:pStyle w:val="TOC2"/>
            <w:rPr>
              <w:rFonts w:eastAsiaTheme="minorEastAsia"/>
              <w:noProof/>
              <w:lang w:val="it-IT" w:eastAsia="it-IT"/>
            </w:rPr>
          </w:pPr>
          <w:hyperlink w:anchor="_Toc25684110" w:history="1">
            <w:r w:rsidR="006A44FB" w:rsidRPr="00086952">
              <w:rPr>
                <w:rStyle w:val="Hyperlink"/>
                <w:noProof/>
                <w:lang w:val="en-IE"/>
              </w:rPr>
              <w:t>1.</w:t>
            </w:r>
            <w:r w:rsidR="006A44FB">
              <w:rPr>
                <w:rFonts w:eastAsiaTheme="minorEastAsia"/>
                <w:noProof/>
                <w:lang w:val="it-IT" w:eastAsia="it-IT"/>
              </w:rPr>
              <w:tab/>
            </w:r>
            <w:r w:rsidR="006A44FB" w:rsidRPr="00086952">
              <w:rPr>
                <w:rStyle w:val="Hyperlink"/>
                <w:noProof/>
                <w:lang w:val="en-IE"/>
              </w:rPr>
              <w:t>Linking notice sections</w:t>
            </w:r>
            <w:r w:rsidR="006A44FB">
              <w:rPr>
                <w:noProof/>
                <w:webHidden/>
              </w:rPr>
              <w:tab/>
            </w:r>
            <w:r w:rsidR="006A44FB">
              <w:rPr>
                <w:noProof/>
                <w:webHidden/>
              </w:rPr>
              <w:fldChar w:fldCharType="begin"/>
            </w:r>
            <w:r w:rsidR="006A44FB">
              <w:rPr>
                <w:noProof/>
                <w:webHidden/>
              </w:rPr>
              <w:instrText xml:space="preserve"> PAGEREF _Toc25684110 \h </w:instrText>
            </w:r>
            <w:r w:rsidR="006A44FB">
              <w:rPr>
                <w:noProof/>
                <w:webHidden/>
              </w:rPr>
            </w:r>
            <w:r w:rsidR="006A44FB">
              <w:rPr>
                <w:noProof/>
                <w:webHidden/>
              </w:rPr>
              <w:fldChar w:fldCharType="separate"/>
            </w:r>
            <w:r w:rsidR="006A44FB">
              <w:rPr>
                <w:noProof/>
                <w:webHidden/>
              </w:rPr>
              <w:t>54</w:t>
            </w:r>
            <w:r w:rsidR="006A44FB">
              <w:rPr>
                <w:noProof/>
                <w:webHidden/>
              </w:rPr>
              <w:fldChar w:fldCharType="end"/>
            </w:r>
          </w:hyperlink>
        </w:p>
        <w:p w14:paraId="02D34BBC" w14:textId="50B53CC6" w:rsidR="006A44FB" w:rsidRDefault="00B70B29" w:rsidP="00417D1D">
          <w:pPr>
            <w:pStyle w:val="TOC3"/>
            <w:rPr>
              <w:rFonts w:eastAsiaTheme="minorEastAsia"/>
              <w:noProof/>
              <w:lang w:val="it-IT" w:eastAsia="it-IT"/>
            </w:rPr>
          </w:pPr>
          <w:hyperlink w:anchor="_Toc25684111" w:history="1">
            <w:r w:rsidR="006A44FB" w:rsidRPr="00086952">
              <w:rPr>
                <w:rStyle w:val="Hyperlink"/>
                <w:noProof/>
                <w:lang w:val="en-IE"/>
              </w:rPr>
              <w:t>1.1</w:t>
            </w:r>
            <w:r w:rsidR="006A44FB">
              <w:rPr>
                <w:rFonts w:eastAsiaTheme="minorEastAsia"/>
                <w:noProof/>
                <w:lang w:val="it-IT" w:eastAsia="it-IT"/>
              </w:rPr>
              <w:tab/>
            </w:r>
            <w:r w:rsidR="006A44FB" w:rsidRPr="00086952">
              <w:rPr>
                <w:rStyle w:val="Hyperlink"/>
                <w:noProof/>
                <w:lang w:val="en-IE"/>
              </w:rPr>
              <w:t>Lots</w:t>
            </w:r>
            <w:r w:rsidR="006A44FB">
              <w:rPr>
                <w:noProof/>
                <w:webHidden/>
              </w:rPr>
              <w:tab/>
            </w:r>
            <w:r w:rsidR="006A44FB">
              <w:rPr>
                <w:noProof/>
                <w:webHidden/>
              </w:rPr>
              <w:fldChar w:fldCharType="begin"/>
            </w:r>
            <w:r w:rsidR="006A44FB">
              <w:rPr>
                <w:noProof/>
                <w:webHidden/>
              </w:rPr>
              <w:instrText xml:space="preserve"> PAGEREF _Toc25684111 \h </w:instrText>
            </w:r>
            <w:r w:rsidR="006A44FB">
              <w:rPr>
                <w:noProof/>
                <w:webHidden/>
              </w:rPr>
            </w:r>
            <w:r w:rsidR="006A44FB">
              <w:rPr>
                <w:noProof/>
                <w:webHidden/>
              </w:rPr>
              <w:fldChar w:fldCharType="separate"/>
            </w:r>
            <w:r w:rsidR="006A44FB">
              <w:rPr>
                <w:noProof/>
                <w:webHidden/>
              </w:rPr>
              <w:t>54</w:t>
            </w:r>
            <w:r w:rsidR="006A44FB">
              <w:rPr>
                <w:noProof/>
                <w:webHidden/>
              </w:rPr>
              <w:fldChar w:fldCharType="end"/>
            </w:r>
          </w:hyperlink>
        </w:p>
        <w:p w14:paraId="7F0D2118" w14:textId="10B64B8E" w:rsidR="006A44FB" w:rsidRDefault="00B70B29" w:rsidP="00417D1D">
          <w:pPr>
            <w:pStyle w:val="TOC3"/>
            <w:rPr>
              <w:rFonts w:eastAsiaTheme="minorEastAsia"/>
              <w:noProof/>
              <w:lang w:val="it-IT" w:eastAsia="it-IT"/>
            </w:rPr>
          </w:pPr>
          <w:hyperlink w:anchor="_Toc25684112" w:history="1">
            <w:r w:rsidR="006A44FB" w:rsidRPr="00086952">
              <w:rPr>
                <w:rStyle w:val="Hyperlink"/>
                <w:noProof/>
                <w:lang w:val="en-IE"/>
              </w:rPr>
              <w:t>1.2</w:t>
            </w:r>
            <w:r w:rsidR="006A44FB">
              <w:rPr>
                <w:rFonts w:eastAsiaTheme="minorEastAsia"/>
                <w:noProof/>
                <w:lang w:val="it-IT" w:eastAsia="it-IT"/>
              </w:rPr>
              <w:tab/>
            </w:r>
            <w:r w:rsidR="006A44FB" w:rsidRPr="00086952">
              <w:rPr>
                <w:rStyle w:val="Hyperlink"/>
                <w:noProof/>
                <w:lang w:val="en-IE"/>
              </w:rPr>
              <w:t>Tenders &amp; Contracts</w:t>
            </w:r>
            <w:r w:rsidR="006A44FB">
              <w:rPr>
                <w:noProof/>
                <w:webHidden/>
              </w:rPr>
              <w:tab/>
            </w:r>
            <w:r w:rsidR="006A44FB">
              <w:rPr>
                <w:noProof/>
                <w:webHidden/>
              </w:rPr>
              <w:fldChar w:fldCharType="begin"/>
            </w:r>
            <w:r w:rsidR="006A44FB">
              <w:rPr>
                <w:noProof/>
                <w:webHidden/>
              </w:rPr>
              <w:instrText xml:space="preserve"> PAGEREF _Toc25684112 \h </w:instrText>
            </w:r>
            <w:r w:rsidR="006A44FB">
              <w:rPr>
                <w:noProof/>
                <w:webHidden/>
              </w:rPr>
            </w:r>
            <w:r w:rsidR="006A44FB">
              <w:rPr>
                <w:noProof/>
                <w:webHidden/>
              </w:rPr>
              <w:fldChar w:fldCharType="separate"/>
            </w:r>
            <w:r w:rsidR="006A44FB">
              <w:rPr>
                <w:noProof/>
                <w:webHidden/>
              </w:rPr>
              <w:t>54</w:t>
            </w:r>
            <w:r w:rsidR="006A44FB">
              <w:rPr>
                <w:noProof/>
                <w:webHidden/>
              </w:rPr>
              <w:fldChar w:fldCharType="end"/>
            </w:r>
          </w:hyperlink>
        </w:p>
        <w:p w14:paraId="35BB7F99" w14:textId="366F93EF" w:rsidR="006A44FB" w:rsidRDefault="00B70B29" w:rsidP="00417D1D">
          <w:pPr>
            <w:pStyle w:val="TOC3"/>
            <w:rPr>
              <w:rFonts w:eastAsiaTheme="minorEastAsia"/>
              <w:noProof/>
              <w:lang w:val="it-IT" w:eastAsia="it-IT"/>
            </w:rPr>
          </w:pPr>
          <w:hyperlink w:anchor="_Toc25684113" w:history="1">
            <w:r w:rsidR="006A44FB" w:rsidRPr="00086952">
              <w:rPr>
                <w:rStyle w:val="Hyperlink"/>
                <w:noProof/>
                <w:lang w:val="en-IE"/>
              </w:rPr>
              <w:t>1.3</w:t>
            </w:r>
            <w:r w:rsidR="006A44FB">
              <w:rPr>
                <w:rFonts w:eastAsiaTheme="minorEastAsia"/>
                <w:noProof/>
                <w:lang w:val="it-IT" w:eastAsia="it-IT"/>
              </w:rPr>
              <w:tab/>
            </w:r>
            <w:r w:rsidR="006A44FB" w:rsidRPr="00086952">
              <w:rPr>
                <w:rStyle w:val="Hyperlink"/>
                <w:noProof/>
                <w:lang w:val="en-IE"/>
              </w:rPr>
              <w:t>Organisations</w:t>
            </w:r>
            <w:r w:rsidR="006A44FB">
              <w:rPr>
                <w:noProof/>
                <w:webHidden/>
              </w:rPr>
              <w:tab/>
            </w:r>
            <w:r w:rsidR="006A44FB">
              <w:rPr>
                <w:noProof/>
                <w:webHidden/>
              </w:rPr>
              <w:fldChar w:fldCharType="begin"/>
            </w:r>
            <w:r w:rsidR="006A44FB">
              <w:rPr>
                <w:noProof/>
                <w:webHidden/>
              </w:rPr>
              <w:instrText xml:space="preserve"> PAGEREF _Toc25684113 \h </w:instrText>
            </w:r>
            <w:r w:rsidR="006A44FB">
              <w:rPr>
                <w:noProof/>
                <w:webHidden/>
              </w:rPr>
            </w:r>
            <w:r w:rsidR="006A44FB">
              <w:rPr>
                <w:noProof/>
                <w:webHidden/>
              </w:rPr>
              <w:fldChar w:fldCharType="separate"/>
            </w:r>
            <w:r w:rsidR="006A44FB">
              <w:rPr>
                <w:noProof/>
                <w:webHidden/>
              </w:rPr>
              <w:t>55</w:t>
            </w:r>
            <w:r w:rsidR="006A44FB">
              <w:rPr>
                <w:noProof/>
                <w:webHidden/>
              </w:rPr>
              <w:fldChar w:fldCharType="end"/>
            </w:r>
          </w:hyperlink>
        </w:p>
        <w:p w14:paraId="751ACDF2" w14:textId="6C7155C3" w:rsidR="006A44FB" w:rsidRDefault="00B70B29" w:rsidP="00417D1D">
          <w:pPr>
            <w:pStyle w:val="TOC3"/>
            <w:rPr>
              <w:rFonts w:eastAsiaTheme="minorEastAsia"/>
              <w:noProof/>
              <w:lang w:val="it-IT" w:eastAsia="it-IT"/>
            </w:rPr>
          </w:pPr>
          <w:hyperlink w:anchor="_Toc25684114" w:history="1">
            <w:r w:rsidR="006A44FB" w:rsidRPr="00086952">
              <w:rPr>
                <w:rStyle w:val="Hyperlink"/>
                <w:noProof/>
                <w:lang w:val="en-IE"/>
              </w:rPr>
              <w:t>1.4</w:t>
            </w:r>
            <w:r w:rsidR="006A44FB">
              <w:rPr>
                <w:rFonts w:eastAsiaTheme="minorEastAsia"/>
                <w:noProof/>
                <w:lang w:val="it-IT" w:eastAsia="it-IT"/>
              </w:rPr>
              <w:tab/>
            </w:r>
            <w:r w:rsidR="006A44FB" w:rsidRPr="00086952">
              <w:rPr>
                <w:rStyle w:val="Hyperlink"/>
                <w:noProof/>
                <w:lang w:val="en-IE"/>
              </w:rPr>
              <w:t>Other information with flexible linking</w:t>
            </w:r>
            <w:r w:rsidR="006A44FB">
              <w:rPr>
                <w:noProof/>
                <w:webHidden/>
              </w:rPr>
              <w:tab/>
            </w:r>
            <w:r w:rsidR="006A44FB">
              <w:rPr>
                <w:noProof/>
                <w:webHidden/>
              </w:rPr>
              <w:fldChar w:fldCharType="begin"/>
            </w:r>
            <w:r w:rsidR="006A44FB">
              <w:rPr>
                <w:noProof/>
                <w:webHidden/>
              </w:rPr>
              <w:instrText xml:space="preserve"> PAGEREF _Toc25684114 \h </w:instrText>
            </w:r>
            <w:r w:rsidR="006A44FB">
              <w:rPr>
                <w:noProof/>
                <w:webHidden/>
              </w:rPr>
            </w:r>
            <w:r w:rsidR="006A44FB">
              <w:rPr>
                <w:noProof/>
                <w:webHidden/>
              </w:rPr>
              <w:fldChar w:fldCharType="separate"/>
            </w:r>
            <w:r w:rsidR="006A44FB">
              <w:rPr>
                <w:noProof/>
                <w:webHidden/>
              </w:rPr>
              <w:t>56</w:t>
            </w:r>
            <w:r w:rsidR="006A44FB">
              <w:rPr>
                <w:noProof/>
                <w:webHidden/>
              </w:rPr>
              <w:fldChar w:fldCharType="end"/>
            </w:r>
          </w:hyperlink>
        </w:p>
        <w:p w14:paraId="205BB40D" w14:textId="10863D73" w:rsidR="006A44FB" w:rsidRDefault="00B70B29" w:rsidP="0060141A">
          <w:pPr>
            <w:pStyle w:val="TOC2"/>
            <w:rPr>
              <w:rFonts w:eastAsiaTheme="minorEastAsia"/>
              <w:noProof/>
              <w:lang w:val="it-IT" w:eastAsia="it-IT"/>
            </w:rPr>
          </w:pPr>
          <w:hyperlink w:anchor="_Toc25684115" w:history="1">
            <w:r w:rsidR="006A44FB" w:rsidRPr="00086952">
              <w:rPr>
                <w:rStyle w:val="Hyperlink"/>
                <w:noProof/>
                <w:lang w:val="en-IE"/>
              </w:rPr>
              <w:t>2.</w:t>
            </w:r>
            <w:r w:rsidR="006A44FB">
              <w:rPr>
                <w:rFonts w:eastAsiaTheme="minorEastAsia"/>
                <w:noProof/>
                <w:lang w:val="it-IT" w:eastAsia="it-IT"/>
              </w:rPr>
              <w:tab/>
            </w:r>
            <w:r w:rsidR="006A44FB" w:rsidRPr="00086952">
              <w:rPr>
                <w:rStyle w:val="Hyperlink"/>
                <w:noProof/>
                <w:lang w:val="en-IE"/>
              </w:rPr>
              <w:t>Codelists</w:t>
            </w:r>
            <w:r w:rsidR="006A44FB">
              <w:rPr>
                <w:noProof/>
                <w:webHidden/>
              </w:rPr>
              <w:tab/>
            </w:r>
            <w:r w:rsidR="006A44FB">
              <w:rPr>
                <w:noProof/>
                <w:webHidden/>
              </w:rPr>
              <w:fldChar w:fldCharType="begin"/>
            </w:r>
            <w:r w:rsidR="006A44FB">
              <w:rPr>
                <w:noProof/>
                <w:webHidden/>
              </w:rPr>
              <w:instrText xml:space="preserve"> PAGEREF _Toc25684115 \h </w:instrText>
            </w:r>
            <w:r w:rsidR="006A44FB">
              <w:rPr>
                <w:noProof/>
                <w:webHidden/>
              </w:rPr>
            </w:r>
            <w:r w:rsidR="006A44FB">
              <w:rPr>
                <w:noProof/>
                <w:webHidden/>
              </w:rPr>
              <w:fldChar w:fldCharType="separate"/>
            </w:r>
            <w:r w:rsidR="006A44FB">
              <w:rPr>
                <w:noProof/>
                <w:webHidden/>
              </w:rPr>
              <w:t>57</w:t>
            </w:r>
            <w:r w:rsidR="006A44FB">
              <w:rPr>
                <w:noProof/>
                <w:webHidden/>
              </w:rPr>
              <w:fldChar w:fldCharType="end"/>
            </w:r>
          </w:hyperlink>
        </w:p>
        <w:p w14:paraId="7917295E" w14:textId="03932225" w:rsidR="006A44FB" w:rsidRDefault="00B70B29" w:rsidP="0060141A">
          <w:pPr>
            <w:pStyle w:val="TOC2"/>
            <w:rPr>
              <w:rFonts w:eastAsiaTheme="minorEastAsia"/>
              <w:noProof/>
              <w:lang w:val="it-IT" w:eastAsia="it-IT"/>
            </w:rPr>
          </w:pPr>
          <w:hyperlink w:anchor="_Toc25684116" w:history="1">
            <w:r w:rsidR="006A44FB" w:rsidRPr="00086952">
              <w:rPr>
                <w:rStyle w:val="Hyperlink"/>
                <w:noProof/>
                <w:lang w:val="en-IE"/>
              </w:rPr>
              <w:t>3.</w:t>
            </w:r>
            <w:r w:rsidR="006A44FB">
              <w:rPr>
                <w:rFonts w:eastAsiaTheme="minorEastAsia"/>
                <w:noProof/>
                <w:lang w:val="it-IT" w:eastAsia="it-IT"/>
              </w:rPr>
              <w:tab/>
            </w:r>
            <w:r w:rsidR="006A44FB" w:rsidRPr="00086952">
              <w:rPr>
                <w:rStyle w:val="Hyperlink"/>
                <w:noProof/>
                <w:lang w:val="en-IE"/>
              </w:rPr>
              <w:t>“Warning” business rules in user interfaces</w:t>
            </w:r>
            <w:r w:rsidR="006A44FB">
              <w:rPr>
                <w:noProof/>
                <w:webHidden/>
              </w:rPr>
              <w:tab/>
            </w:r>
            <w:r w:rsidR="006A44FB">
              <w:rPr>
                <w:noProof/>
                <w:webHidden/>
              </w:rPr>
              <w:fldChar w:fldCharType="begin"/>
            </w:r>
            <w:r w:rsidR="006A44FB">
              <w:rPr>
                <w:noProof/>
                <w:webHidden/>
              </w:rPr>
              <w:instrText xml:space="preserve"> PAGEREF _Toc25684116 \h </w:instrText>
            </w:r>
            <w:r w:rsidR="006A44FB">
              <w:rPr>
                <w:noProof/>
                <w:webHidden/>
              </w:rPr>
            </w:r>
            <w:r w:rsidR="006A44FB">
              <w:rPr>
                <w:noProof/>
                <w:webHidden/>
              </w:rPr>
              <w:fldChar w:fldCharType="separate"/>
            </w:r>
            <w:r w:rsidR="006A44FB">
              <w:rPr>
                <w:noProof/>
                <w:webHidden/>
              </w:rPr>
              <w:t>57</w:t>
            </w:r>
            <w:r w:rsidR="006A44FB">
              <w:rPr>
                <w:noProof/>
                <w:webHidden/>
              </w:rPr>
              <w:fldChar w:fldCharType="end"/>
            </w:r>
          </w:hyperlink>
        </w:p>
        <w:p w14:paraId="089AE267" w14:textId="30766F47" w:rsidR="006A44FB" w:rsidRDefault="00B70B29" w:rsidP="0060141A">
          <w:pPr>
            <w:pStyle w:val="TOC2"/>
            <w:rPr>
              <w:rFonts w:eastAsiaTheme="minorEastAsia"/>
              <w:noProof/>
              <w:lang w:val="it-IT" w:eastAsia="it-IT"/>
            </w:rPr>
          </w:pPr>
          <w:hyperlink w:anchor="_Toc25684117" w:history="1">
            <w:r w:rsidR="006A44FB" w:rsidRPr="00086952">
              <w:rPr>
                <w:rStyle w:val="Hyperlink"/>
                <w:noProof/>
                <w:lang w:val="en-IE"/>
              </w:rPr>
              <w:t>4.</w:t>
            </w:r>
            <w:r w:rsidR="006A44FB">
              <w:rPr>
                <w:rFonts w:eastAsiaTheme="minorEastAsia"/>
                <w:noProof/>
                <w:lang w:val="it-IT" w:eastAsia="it-IT"/>
              </w:rPr>
              <w:tab/>
            </w:r>
            <w:r w:rsidR="006A44FB" w:rsidRPr="00086952">
              <w:rPr>
                <w:rStyle w:val="Hyperlink"/>
                <w:noProof/>
                <w:lang w:val="en-IE"/>
              </w:rPr>
              <w:t>Timing of notices</w:t>
            </w:r>
            <w:r w:rsidR="006A44FB">
              <w:rPr>
                <w:noProof/>
                <w:webHidden/>
              </w:rPr>
              <w:tab/>
            </w:r>
            <w:r w:rsidR="006A44FB">
              <w:rPr>
                <w:noProof/>
                <w:webHidden/>
              </w:rPr>
              <w:fldChar w:fldCharType="begin"/>
            </w:r>
            <w:r w:rsidR="006A44FB">
              <w:rPr>
                <w:noProof/>
                <w:webHidden/>
              </w:rPr>
              <w:instrText xml:space="preserve"> PAGEREF _Toc25684117 \h </w:instrText>
            </w:r>
            <w:r w:rsidR="006A44FB">
              <w:rPr>
                <w:noProof/>
                <w:webHidden/>
              </w:rPr>
            </w:r>
            <w:r w:rsidR="006A44FB">
              <w:rPr>
                <w:noProof/>
                <w:webHidden/>
              </w:rPr>
              <w:fldChar w:fldCharType="separate"/>
            </w:r>
            <w:r w:rsidR="006A44FB">
              <w:rPr>
                <w:noProof/>
                <w:webHidden/>
              </w:rPr>
              <w:t>57</w:t>
            </w:r>
            <w:r w:rsidR="006A44FB">
              <w:rPr>
                <w:noProof/>
                <w:webHidden/>
              </w:rPr>
              <w:fldChar w:fldCharType="end"/>
            </w:r>
          </w:hyperlink>
        </w:p>
        <w:p w14:paraId="38EC4895" w14:textId="5F298AEB" w:rsidR="006A44FB" w:rsidRDefault="00B70B29" w:rsidP="0060141A">
          <w:pPr>
            <w:pStyle w:val="TOC2"/>
            <w:rPr>
              <w:rFonts w:eastAsiaTheme="minorEastAsia"/>
              <w:noProof/>
              <w:lang w:val="it-IT" w:eastAsia="it-IT"/>
            </w:rPr>
          </w:pPr>
          <w:hyperlink w:anchor="_Toc25684118" w:history="1">
            <w:r w:rsidR="006A44FB" w:rsidRPr="00086952">
              <w:rPr>
                <w:rStyle w:val="Hyperlink"/>
                <w:noProof/>
                <w:lang w:val="en-IE"/>
              </w:rPr>
              <w:t>5.</w:t>
            </w:r>
            <w:r w:rsidR="006A44FB">
              <w:rPr>
                <w:rFonts w:eastAsiaTheme="minorEastAsia"/>
                <w:noProof/>
                <w:lang w:val="it-IT" w:eastAsia="it-IT"/>
              </w:rPr>
              <w:tab/>
            </w:r>
            <w:r w:rsidR="006A44FB" w:rsidRPr="00086952">
              <w:rPr>
                <w:rStyle w:val="Hyperlink"/>
                <w:noProof/>
                <w:lang w:val="en-IE"/>
              </w:rPr>
              <w:t>Summaries (Purpose, Notice result)</w:t>
            </w:r>
            <w:r w:rsidR="006A44FB">
              <w:rPr>
                <w:noProof/>
                <w:webHidden/>
              </w:rPr>
              <w:tab/>
            </w:r>
            <w:r w:rsidR="006A44FB">
              <w:rPr>
                <w:noProof/>
                <w:webHidden/>
              </w:rPr>
              <w:fldChar w:fldCharType="begin"/>
            </w:r>
            <w:r w:rsidR="006A44FB">
              <w:rPr>
                <w:noProof/>
                <w:webHidden/>
              </w:rPr>
              <w:instrText xml:space="preserve"> PAGEREF _Toc25684118 \h </w:instrText>
            </w:r>
            <w:r w:rsidR="006A44FB">
              <w:rPr>
                <w:noProof/>
                <w:webHidden/>
              </w:rPr>
            </w:r>
            <w:r w:rsidR="006A44FB">
              <w:rPr>
                <w:noProof/>
                <w:webHidden/>
              </w:rPr>
              <w:fldChar w:fldCharType="separate"/>
            </w:r>
            <w:r w:rsidR="006A44FB">
              <w:rPr>
                <w:noProof/>
                <w:webHidden/>
              </w:rPr>
              <w:t>58</w:t>
            </w:r>
            <w:r w:rsidR="006A44FB">
              <w:rPr>
                <w:noProof/>
                <w:webHidden/>
              </w:rPr>
              <w:fldChar w:fldCharType="end"/>
            </w:r>
          </w:hyperlink>
        </w:p>
        <w:p w14:paraId="5BA95AB0" w14:textId="13167FC8" w:rsidR="006A44FB" w:rsidRDefault="00B70B29" w:rsidP="0060141A">
          <w:pPr>
            <w:pStyle w:val="TOC2"/>
            <w:rPr>
              <w:rFonts w:eastAsiaTheme="minorEastAsia"/>
              <w:noProof/>
              <w:lang w:val="it-IT" w:eastAsia="it-IT"/>
            </w:rPr>
          </w:pPr>
          <w:hyperlink w:anchor="_Toc25684119" w:history="1">
            <w:r w:rsidR="006A44FB" w:rsidRPr="00086952">
              <w:rPr>
                <w:rStyle w:val="Hyperlink"/>
                <w:noProof/>
                <w:lang w:val="en-IE"/>
              </w:rPr>
              <w:t>6.</w:t>
            </w:r>
            <w:r w:rsidR="006A44FB">
              <w:rPr>
                <w:rFonts w:eastAsiaTheme="minorEastAsia"/>
                <w:noProof/>
                <w:lang w:val="it-IT" w:eastAsia="it-IT"/>
              </w:rPr>
              <w:tab/>
            </w:r>
            <w:r w:rsidR="006A44FB" w:rsidRPr="00086952">
              <w:rPr>
                <w:rStyle w:val="Hyperlink"/>
                <w:noProof/>
                <w:lang w:val="en-IE"/>
              </w:rPr>
              <w:t>Place of Performance</w:t>
            </w:r>
            <w:r w:rsidR="006A44FB">
              <w:rPr>
                <w:noProof/>
                <w:webHidden/>
              </w:rPr>
              <w:tab/>
            </w:r>
            <w:r w:rsidR="006A44FB">
              <w:rPr>
                <w:noProof/>
                <w:webHidden/>
              </w:rPr>
              <w:fldChar w:fldCharType="begin"/>
            </w:r>
            <w:r w:rsidR="006A44FB">
              <w:rPr>
                <w:noProof/>
                <w:webHidden/>
              </w:rPr>
              <w:instrText xml:space="preserve"> PAGEREF _Toc25684119 \h </w:instrText>
            </w:r>
            <w:r w:rsidR="006A44FB">
              <w:rPr>
                <w:noProof/>
                <w:webHidden/>
              </w:rPr>
            </w:r>
            <w:r w:rsidR="006A44FB">
              <w:rPr>
                <w:noProof/>
                <w:webHidden/>
              </w:rPr>
              <w:fldChar w:fldCharType="separate"/>
            </w:r>
            <w:r w:rsidR="006A44FB">
              <w:rPr>
                <w:noProof/>
                <w:webHidden/>
              </w:rPr>
              <w:t>58</w:t>
            </w:r>
            <w:r w:rsidR="006A44FB">
              <w:rPr>
                <w:noProof/>
                <w:webHidden/>
              </w:rPr>
              <w:fldChar w:fldCharType="end"/>
            </w:r>
          </w:hyperlink>
        </w:p>
        <w:p w14:paraId="0B08F49F" w14:textId="4A74F2D0" w:rsidR="006A44FB" w:rsidRDefault="00B70B29" w:rsidP="0060141A">
          <w:pPr>
            <w:pStyle w:val="TOC2"/>
            <w:rPr>
              <w:rFonts w:eastAsiaTheme="minorEastAsia"/>
              <w:noProof/>
              <w:lang w:val="it-IT" w:eastAsia="it-IT"/>
            </w:rPr>
          </w:pPr>
          <w:hyperlink w:anchor="_Toc25684120" w:history="1">
            <w:r w:rsidR="006A44FB" w:rsidRPr="00086952">
              <w:rPr>
                <w:rStyle w:val="Hyperlink"/>
                <w:noProof/>
                <w:lang w:val="en-IE"/>
              </w:rPr>
              <w:t>7.</w:t>
            </w:r>
            <w:r w:rsidR="006A44FB">
              <w:rPr>
                <w:rFonts w:eastAsiaTheme="minorEastAsia"/>
                <w:noProof/>
                <w:lang w:val="it-IT" w:eastAsia="it-IT"/>
              </w:rPr>
              <w:tab/>
            </w:r>
            <w:r w:rsidR="006A44FB" w:rsidRPr="00086952">
              <w:rPr>
                <w:rStyle w:val="Hyperlink"/>
                <w:noProof/>
                <w:lang w:val="en-IE"/>
              </w:rPr>
              <w:t>Unpublished fields</w:t>
            </w:r>
            <w:r w:rsidR="006A44FB">
              <w:rPr>
                <w:noProof/>
                <w:webHidden/>
              </w:rPr>
              <w:tab/>
            </w:r>
            <w:r w:rsidR="006A44FB">
              <w:rPr>
                <w:noProof/>
                <w:webHidden/>
              </w:rPr>
              <w:fldChar w:fldCharType="begin"/>
            </w:r>
            <w:r w:rsidR="006A44FB">
              <w:rPr>
                <w:noProof/>
                <w:webHidden/>
              </w:rPr>
              <w:instrText xml:space="preserve"> PAGEREF _Toc25684120 \h </w:instrText>
            </w:r>
            <w:r w:rsidR="006A44FB">
              <w:rPr>
                <w:noProof/>
                <w:webHidden/>
              </w:rPr>
            </w:r>
            <w:r w:rsidR="006A44FB">
              <w:rPr>
                <w:noProof/>
                <w:webHidden/>
              </w:rPr>
              <w:fldChar w:fldCharType="separate"/>
            </w:r>
            <w:r w:rsidR="006A44FB">
              <w:rPr>
                <w:noProof/>
                <w:webHidden/>
              </w:rPr>
              <w:t>58</w:t>
            </w:r>
            <w:r w:rsidR="006A44FB">
              <w:rPr>
                <w:noProof/>
                <w:webHidden/>
              </w:rPr>
              <w:fldChar w:fldCharType="end"/>
            </w:r>
          </w:hyperlink>
        </w:p>
        <w:p w14:paraId="719D33B4" w14:textId="71121F16" w:rsidR="006A44FB" w:rsidRDefault="00B70B29" w:rsidP="0060141A">
          <w:pPr>
            <w:pStyle w:val="TOC2"/>
            <w:rPr>
              <w:rFonts w:eastAsiaTheme="minorEastAsia"/>
              <w:noProof/>
              <w:lang w:val="it-IT" w:eastAsia="it-IT"/>
            </w:rPr>
          </w:pPr>
          <w:hyperlink w:anchor="_Toc25684121" w:history="1">
            <w:r w:rsidR="006A44FB" w:rsidRPr="00086952">
              <w:rPr>
                <w:rStyle w:val="Hyperlink"/>
                <w:noProof/>
                <w:lang w:val="en-IE"/>
              </w:rPr>
              <w:t>8.</w:t>
            </w:r>
            <w:r w:rsidR="006A44FB">
              <w:rPr>
                <w:rFonts w:eastAsiaTheme="minorEastAsia"/>
                <w:noProof/>
                <w:lang w:val="it-IT" w:eastAsia="it-IT"/>
              </w:rPr>
              <w:tab/>
            </w:r>
            <w:r w:rsidR="006A44FB" w:rsidRPr="00086952">
              <w:rPr>
                <w:rStyle w:val="Hyperlink"/>
                <w:noProof/>
                <w:lang w:val="en-IE"/>
              </w:rPr>
              <w:t>Cancelled procedure vs. no awarded contract</w:t>
            </w:r>
            <w:r w:rsidR="006A44FB">
              <w:rPr>
                <w:noProof/>
                <w:webHidden/>
              </w:rPr>
              <w:tab/>
            </w:r>
            <w:r w:rsidR="006A44FB">
              <w:rPr>
                <w:noProof/>
                <w:webHidden/>
              </w:rPr>
              <w:fldChar w:fldCharType="begin"/>
            </w:r>
            <w:r w:rsidR="006A44FB">
              <w:rPr>
                <w:noProof/>
                <w:webHidden/>
              </w:rPr>
              <w:instrText xml:space="preserve"> PAGEREF _Toc25684121 \h </w:instrText>
            </w:r>
            <w:r w:rsidR="006A44FB">
              <w:rPr>
                <w:noProof/>
                <w:webHidden/>
              </w:rPr>
            </w:r>
            <w:r w:rsidR="006A44FB">
              <w:rPr>
                <w:noProof/>
                <w:webHidden/>
              </w:rPr>
              <w:fldChar w:fldCharType="separate"/>
            </w:r>
            <w:r w:rsidR="006A44FB">
              <w:rPr>
                <w:noProof/>
                <w:webHidden/>
              </w:rPr>
              <w:t>58</w:t>
            </w:r>
            <w:r w:rsidR="006A44FB">
              <w:rPr>
                <w:noProof/>
                <w:webHidden/>
              </w:rPr>
              <w:fldChar w:fldCharType="end"/>
            </w:r>
          </w:hyperlink>
        </w:p>
        <w:p w14:paraId="36D56638" w14:textId="2AD49516" w:rsidR="006A44FB" w:rsidRDefault="00B70B29" w:rsidP="0060141A">
          <w:pPr>
            <w:pStyle w:val="TOC2"/>
            <w:rPr>
              <w:rFonts w:eastAsiaTheme="minorEastAsia"/>
              <w:noProof/>
              <w:lang w:val="it-IT" w:eastAsia="it-IT"/>
            </w:rPr>
          </w:pPr>
          <w:hyperlink w:anchor="_Toc25684122" w:history="1">
            <w:r w:rsidR="006A44FB" w:rsidRPr="00086952">
              <w:rPr>
                <w:rStyle w:val="Hyperlink"/>
                <w:noProof/>
                <w:lang w:val="en-IE"/>
              </w:rPr>
              <w:t>9.</w:t>
            </w:r>
            <w:r w:rsidR="006A44FB">
              <w:rPr>
                <w:rFonts w:eastAsiaTheme="minorEastAsia"/>
                <w:noProof/>
                <w:lang w:val="it-IT" w:eastAsia="it-IT"/>
              </w:rPr>
              <w:tab/>
            </w:r>
            <w:r w:rsidR="006A44FB" w:rsidRPr="00086952">
              <w:rPr>
                <w:rStyle w:val="Hyperlink"/>
                <w:noProof/>
                <w:lang w:val="en-IE"/>
              </w:rPr>
              <w:t>Adding intermediary steps</w:t>
            </w:r>
            <w:r w:rsidR="006A44FB">
              <w:rPr>
                <w:noProof/>
                <w:webHidden/>
              </w:rPr>
              <w:tab/>
            </w:r>
            <w:r w:rsidR="006A44FB">
              <w:rPr>
                <w:noProof/>
                <w:webHidden/>
              </w:rPr>
              <w:fldChar w:fldCharType="begin"/>
            </w:r>
            <w:r w:rsidR="006A44FB">
              <w:rPr>
                <w:noProof/>
                <w:webHidden/>
              </w:rPr>
              <w:instrText xml:space="preserve"> PAGEREF _Toc25684122 \h </w:instrText>
            </w:r>
            <w:r w:rsidR="006A44FB">
              <w:rPr>
                <w:noProof/>
                <w:webHidden/>
              </w:rPr>
            </w:r>
            <w:r w:rsidR="006A44FB">
              <w:rPr>
                <w:noProof/>
                <w:webHidden/>
              </w:rPr>
              <w:fldChar w:fldCharType="separate"/>
            </w:r>
            <w:r w:rsidR="006A44FB">
              <w:rPr>
                <w:noProof/>
                <w:webHidden/>
              </w:rPr>
              <w:t>59</w:t>
            </w:r>
            <w:r w:rsidR="006A44FB">
              <w:rPr>
                <w:noProof/>
                <w:webHidden/>
              </w:rPr>
              <w:fldChar w:fldCharType="end"/>
            </w:r>
          </w:hyperlink>
        </w:p>
        <w:p w14:paraId="33BF467D" w14:textId="0016156C" w:rsidR="006A44FB" w:rsidRDefault="00B70B29" w:rsidP="0060141A">
          <w:pPr>
            <w:pStyle w:val="TOC2"/>
            <w:rPr>
              <w:rFonts w:eastAsiaTheme="minorEastAsia"/>
              <w:noProof/>
              <w:lang w:val="it-IT" w:eastAsia="it-IT"/>
            </w:rPr>
          </w:pPr>
          <w:hyperlink w:anchor="_Toc25684123" w:history="1">
            <w:r w:rsidR="006A44FB" w:rsidRPr="00086952">
              <w:rPr>
                <w:rStyle w:val="Hyperlink"/>
                <w:noProof/>
                <w:lang w:val="en-IE"/>
              </w:rPr>
              <w:t>10.</w:t>
            </w:r>
            <w:r w:rsidR="006A44FB">
              <w:rPr>
                <w:rFonts w:eastAsiaTheme="minorEastAsia"/>
                <w:noProof/>
                <w:lang w:val="it-IT" w:eastAsia="it-IT"/>
              </w:rPr>
              <w:tab/>
            </w:r>
            <w:r w:rsidR="006A44FB" w:rsidRPr="00086952">
              <w:rPr>
                <w:rStyle w:val="Hyperlink"/>
                <w:noProof/>
                <w:lang w:val="en-IE"/>
              </w:rPr>
              <w:t>Changing notices</w:t>
            </w:r>
            <w:r w:rsidR="006A44FB">
              <w:rPr>
                <w:noProof/>
                <w:webHidden/>
              </w:rPr>
              <w:tab/>
            </w:r>
            <w:r w:rsidR="006A44FB">
              <w:rPr>
                <w:noProof/>
                <w:webHidden/>
              </w:rPr>
              <w:fldChar w:fldCharType="begin"/>
            </w:r>
            <w:r w:rsidR="006A44FB">
              <w:rPr>
                <w:noProof/>
                <w:webHidden/>
              </w:rPr>
              <w:instrText xml:space="preserve"> PAGEREF _Toc25684123 \h </w:instrText>
            </w:r>
            <w:r w:rsidR="006A44FB">
              <w:rPr>
                <w:noProof/>
                <w:webHidden/>
              </w:rPr>
            </w:r>
            <w:r w:rsidR="006A44FB">
              <w:rPr>
                <w:noProof/>
                <w:webHidden/>
              </w:rPr>
              <w:fldChar w:fldCharType="separate"/>
            </w:r>
            <w:r w:rsidR="006A44FB">
              <w:rPr>
                <w:noProof/>
                <w:webHidden/>
              </w:rPr>
              <w:t>59</w:t>
            </w:r>
            <w:r w:rsidR="006A44FB">
              <w:rPr>
                <w:noProof/>
                <w:webHidden/>
              </w:rPr>
              <w:fldChar w:fldCharType="end"/>
            </w:r>
          </w:hyperlink>
        </w:p>
        <w:p w14:paraId="4C000293" w14:textId="0C0ADA42" w:rsidR="006A44FB" w:rsidRDefault="00B70B29">
          <w:pPr>
            <w:pStyle w:val="TOC1"/>
            <w:rPr>
              <w:rFonts w:eastAsiaTheme="minorEastAsia"/>
              <w:noProof/>
              <w:lang w:val="it-IT" w:eastAsia="it-IT"/>
            </w:rPr>
          </w:pPr>
          <w:hyperlink w:anchor="_Toc25684124" w:history="1">
            <w:r w:rsidR="006A44FB" w:rsidRPr="00086952">
              <w:rPr>
                <w:rStyle w:val="Hyperlink"/>
                <w:noProof/>
                <w:lang w:val="en-IE"/>
              </w:rPr>
              <w:t>Annex II – Using GitHub</w:t>
            </w:r>
            <w:r w:rsidR="006A44FB">
              <w:rPr>
                <w:noProof/>
                <w:webHidden/>
              </w:rPr>
              <w:tab/>
            </w:r>
            <w:r w:rsidR="006A44FB">
              <w:rPr>
                <w:noProof/>
                <w:webHidden/>
              </w:rPr>
              <w:fldChar w:fldCharType="begin"/>
            </w:r>
            <w:r w:rsidR="006A44FB">
              <w:rPr>
                <w:noProof/>
                <w:webHidden/>
              </w:rPr>
              <w:instrText xml:space="preserve"> PAGEREF _Toc25684124 \h </w:instrText>
            </w:r>
            <w:r w:rsidR="006A44FB">
              <w:rPr>
                <w:noProof/>
                <w:webHidden/>
              </w:rPr>
            </w:r>
            <w:r w:rsidR="006A44FB">
              <w:rPr>
                <w:noProof/>
                <w:webHidden/>
              </w:rPr>
              <w:fldChar w:fldCharType="separate"/>
            </w:r>
            <w:r w:rsidR="006A44FB">
              <w:rPr>
                <w:noProof/>
                <w:webHidden/>
              </w:rPr>
              <w:t>60</w:t>
            </w:r>
            <w:r w:rsidR="006A44FB">
              <w:rPr>
                <w:noProof/>
                <w:webHidden/>
              </w:rPr>
              <w:fldChar w:fldCharType="end"/>
            </w:r>
          </w:hyperlink>
        </w:p>
        <w:p w14:paraId="376FA116" w14:textId="7418C500" w:rsidR="006A44FB" w:rsidRDefault="00B70B29">
          <w:pPr>
            <w:pStyle w:val="TOC3"/>
            <w:rPr>
              <w:rFonts w:eastAsiaTheme="minorEastAsia"/>
              <w:noProof/>
              <w:lang w:val="it-IT" w:eastAsia="it-IT"/>
            </w:rPr>
          </w:pPr>
          <w:hyperlink w:anchor="_Toc25684125" w:history="1">
            <w:r w:rsidR="006A44FB" w:rsidRPr="00086952">
              <w:rPr>
                <w:rStyle w:val="Hyperlink"/>
                <w:noProof/>
              </w:rPr>
              <w:t>GitHub</w:t>
            </w:r>
            <w:r w:rsidR="006A44FB">
              <w:rPr>
                <w:noProof/>
                <w:webHidden/>
              </w:rPr>
              <w:tab/>
            </w:r>
            <w:r w:rsidR="006A44FB">
              <w:rPr>
                <w:noProof/>
                <w:webHidden/>
              </w:rPr>
              <w:fldChar w:fldCharType="begin"/>
            </w:r>
            <w:r w:rsidR="006A44FB">
              <w:rPr>
                <w:noProof/>
                <w:webHidden/>
              </w:rPr>
              <w:instrText xml:space="preserve"> PAGEREF _Toc25684125 \h </w:instrText>
            </w:r>
            <w:r w:rsidR="006A44FB">
              <w:rPr>
                <w:noProof/>
                <w:webHidden/>
              </w:rPr>
            </w:r>
            <w:r w:rsidR="006A44FB">
              <w:rPr>
                <w:noProof/>
                <w:webHidden/>
              </w:rPr>
              <w:fldChar w:fldCharType="separate"/>
            </w:r>
            <w:r w:rsidR="006A44FB">
              <w:rPr>
                <w:noProof/>
                <w:webHidden/>
              </w:rPr>
              <w:t>60</w:t>
            </w:r>
            <w:r w:rsidR="006A44FB">
              <w:rPr>
                <w:noProof/>
                <w:webHidden/>
              </w:rPr>
              <w:fldChar w:fldCharType="end"/>
            </w:r>
          </w:hyperlink>
        </w:p>
        <w:p w14:paraId="3C2FE26A" w14:textId="65730A90" w:rsidR="006D511F" w:rsidRPr="0059550D" w:rsidRDefault="006D511F">
          <w:pPr>
            <w:rPr>
              <w:lang w:val="en-IE"/>
            </w:rPr>
          </w:pPr>
          <w:r w:rsidRPr="0059550D">
            <w:rPr>
              <w:b/>
              <w:bCs/>
              <w:noProof/>
              <w:lang w:val="en-IE"/>
            </w:rPr>
            <w:fldChar w:fldCharType="end"/>
          </w:r>
        </w:p>
      </w:sdtContent>
    </w:sdt>
    <w:p w14:paraId="747B1184" w14:textId="77777777" w:rsidR="00E873C5" w:rsidRDefault="00E873C5" w:rsidP="00EB186D">
      <w:pPr>
        <w:pStyle w:val="Heading1"/>
        <w:numPr>
          <w:ilvl w:val="0"/>
          <w:numId w:val="0"/>
        </w:numPr>
        <w:ind w:left="432" w:hanging="432"/>
        <w:rPr>
          <w:lang w:val="en-IE"/>
        </w:rPr>
      </w:pPr>
      <w:bookmarkStart w:id="1" w:name="_Toc25684057"/>
    </w:p>
    <w:p w14:paraId="386C578F" w14:textId="5BD1CE6C" w:rsidR="00281FC8" w:rsidRPr="0059550D" w:rsidRDefault="00281FC8" w:rsidP="00EB186D">
      <w:pPr>
        <w:pStyle w:val="Heading1"/>
        <w:numPr>
          <w:ilvl w:val="0"/>
          <w:numId w:val="0"/>
        </w:numPr>
        <w:ind w:left="432" w:hanging="432"/>
        <w:rPr>
          <w:lang w:val="en-IE"/>
        </w:rPr>
      </w:pPr>
      <w:r w:rsidRPr="0059550D">
        <w:rPr>
          <w:lang w:val="en-IE"/>
        </w:rPr>
        <w:t>Executive summary</w:t>
      </w:r>
      <w:bookmarkEnd w:id="1"/>
    </w:p>
    <w:p w14:paraId="0C02DC45" w14:textId="2CA48A21" w:rsidR="00533C60" w:rsidRPr="0059550D" w:rsidRDefault="00533C60" w:rsidP="00533C60">
      <w:pPr>
        <w:rPr>
          <w:lang w:val="en-IE"/>
        </w:rPr>
      </w:pPr>
    </w:p>
    <w:p w14:paraId="10A05BBE" w14:textId="1330D36A" w:rsidR="00F37407" w:rsidRDefault="007973D1" w:rsidP="00FC353D">
      <w:pPr>
        <w:pStyle w:val="NoSpacing"/>
        <w:rPr>
          <w:lang w:val="en-IE"/>
        </w:rPr>
      </w:pPr>
      <w:r>
        <w:rPr>
          <w:lang w:val="en-IE"/>
        </w:rPr>
        <w:t xml:space="preserve">eForms are an EU legislative open standard </w:t>
      </w:r>
      <w:r w:rsidR="00F37407" w:rsidRPr="00F37407">
        <w:rPr>
          <w:lang w:val="en-IE"/>
        </w:rPr>
        <w:t>for procurement data used by public buyers to publish notices on Tenders Electronic Daily,</w:t>
      </w:r>
      <w:r w:rsidR="00F37407">
        <w:rPr>
          <w:lang w:val="en-IE"/>
        </w:rPr>
        <w:t xml:space="preserve"> </w:t>
      </w:r>
      <w:r w:rsidR="00F37407" w:rsidRPr="00F37407">
        <w:rPr>
          <w:lang w:val="en-IE"/>
        </w:rPr>
        <w:t>the European public procurement advertising website</w:t>
      </w:r>
      <w:r w:rsidR="00F37407">
        <w:rPr>
          <w:lang w:val="en-IE"/>
        </w:rPr>
        <w:t xml:space="preserve">. </w:t>
      </w:r>
      <w:r w:rsidR="00F37407" w:rsidRPr="00F37407">
        <w:rPr>
          <w:lang w:val="en-IE"/>
        </w:rPr>
        <w:t>The Commission Implementing Regulation</w:t>
      </w:r>
      <w:r w:rsidR="005814C5">
        <w:rPr>
          <w:rStyle w:val="FootnoteReference"/>
          <w:lang w:val="en-IE"/>
        </w:rPr>
        <w:footnoteReference w:id="2"/>
      </w:r>
      <w:r w:rsidR="00F37407" w:rsidRPr="00F37407">
        <w:rPr>
          <w:lang w:val="en-IE"/>
        </w:rPr>
        <w:t xml:space="preserve">  </w:t>
      </w:r>
      <w:r w:rsidR="00312864" w:rsidRPr="00312864">
        <w:rPr>
          <w:lang w:val="en-IE"/>
        </w:rPr>
        <w:t>(EU) 2019/1780 of 23 September 2019</w:t>
      </w:r>
      <w:r w:rsidR="00F37407" w:rsidRPr="00F37407">
        <w:rPr>
          <w:lang w:val="en-IE"/>
        </w:rPr>
        <w:t xml:space="preserve"> established the standard forms (eForms) to be used for the publication of notices in the field of public procurement, which are set out in the Annex of the Regulation.</w:t>
      </w:r>
    </w:p>
    <w:p w14:paraId="37C3702D" w14:textId="77777777" w:rsidR="00F37407" w:rsidRDefault="00F37407" w:rsidP="00FC353D">
      <w:pPr>
        <w:pStyle w:val="NoSpacing"/>
        <w:rPr>
          <w:lang w:val="en-IE"/>
        </w:rPr>
      </w:pPr>
    </w:p>
    <w:p w14:paraId="510A7293" w14:textId="219F9509" w:rsidR="007973D1" w:rsidRDefault="007973D1" w:rsidP="00FC353D">
      <w:pPr>
        <w:pStyle w:val="NoSpacing"/>
        <w:rPr>
          <w:lang w:val="en-IE"/>
        </w:rPr>
      </w:pPr>
      <w:r>
        <w:rPr>
          <w:lang w:val="en-IE"/>
        </w:rPr>
        <w:t>Well-implemented eForms will increase economic operators’ ability to find relevant notices</w:t>
      </w:r>
      <w:r w:rsidR="00A1723B">
        <w:rPr>
          <w:lang w:val="en-IE"/>
        </w:rPr>
        <w:t xml:space="preserve">; </w:t>
      </w:r>
      <w:r>
        <w:rPr>
          <w:lang w:val="en-IE"/>
        </w:rPr>
        <w:t>reduce administrative burden for buyers</w:t>
      </w:r>
      <w:r w:rsidR="00A1723B">
        <w:rPr>
          <w:lang w:val="en-IE"/>
        </w:rPr>
        <w:t xml:space="preserve">; </w:t>
      </w:r>
      <w:r>
        <w:rPr>
          <w:lang w:val="en-IE"/>
        </w:rPr>
        <w:t>increase government</w:t>
      </w:r>
      <w:r w:rsidR="00A1723B">
        <w:rPr>
          <w:lang w:val="en-IE"/>
        </w:rPr>
        <w:t>s</w:t>
      </w:r>
      <w:r>
        <w:rPr>
          <w:lang w:val="en-IE"/>
        </w:rPr>
        <w:t xml:space="preserve">’ abilities to </w:t>
      </w:r>
      <w:r w:rsidR="00BD41E4">
        <w:rPr>
          <w:lang w:val="en-IE"/>
        </w:rPr>
        <w:t>make</w:t>
      </w:r>
      <w:r>
        <w:rPr>
          <w:lang w:val="en-IE"/>
        </w:rPr>
        <w:t xml:space="preserve"> data-driven decisions about public </w:t>
      </w:r>
      <w:r w:rsidR="00FC353D">
        <w:rPr>
          <w:lang w:val="en-IE"/>
        </w:rPr>
        <w:t xml:space="preserve">spending </w:t>
      </w:r>
      <w:r>
        <w:rPr>
          <w:lang w:val="en-IE"/>
        </w:rPr>
        <w:t xml:space="preserve">as well as make </w:t>
      </w:r>
      <w:r w:rsidR="00FC353D">
        <w:rPr>
          <w:lang w:val="en-IE"/>
        </w:rPr>
        <w:t xml:space="preserve">it </w:t>
      </w:r>
      <w:r>
        <w:rPr>
          <w:lang w:val="en-IE"/>
        </w:rPr>
        <w:t xml:space="preserve">more transparent towards citizens. </w:t>
      </w:r>
    </w:p>
    <w:p w14:paraId="14C7C54F" w14:textId="77777777" w:rsidR="007973D1" w:rsidRDefault="007973D1" w:rsidP="007973D1">
      <w:pPr>
        <w:pStyle w:val="CommentText"/>
        <w:rPr>
          <w:sz w:val="22"/>
          <w:szCs w:val="22"/>
          <w:lang w:val="en-IE"/>
        </w:rPr>
      </w:pPr>
    </w:p>
    <w:p w14:paraId="79E5668C" w14:textId="24BFEC1B" w:rsidR="007973D1" w:rsidRDefault="007973D1" w:rsidP="007973D1">
      <w:pPr>
        <w:pStyle w:val="NoSpacing"/>
        <w:rPr>
          <w:lang w:val="en-IE"/>
        </w:rPr>
      </w:pPr>
      <w:r>
        <w:rPr>
          <w:lang w:val="en-IE"/>
        </w:rPr>
        <w:t xml:space="preserve">eForms need to be implemented in national eProcurement systems. </w:t>
      </w:r>
      <w:r w:rsidR="00FC353D">
        <w:rPr>
          <w:lang w:val="en-IE"/>
        </w:rPr>
        <w:t xml:space="preserve">Before being used, </w:t>
      </w:r>
      <w:r w:rsidR="008C1B77">
        <w:rPr>
          <w:lang w:val="en-IE"/>
        </w:rPr>
        <w:t xml:space="preserve">eForms </w:t>
      </w:r>
      <w:r w:rsidR="00FC353D">
        <w:rPr>
          <w:lang w:val="en-IE"/>
        </w:rPr>
        <w:t xml:space="preserve">can – and must – be tailored to </w:t>
      </w:r>
      <w:r>
        <w:rPr>
          <w:lang w:val="en-IE"/>
        </w:rPr>
        <w:t>national needs</w:t>
      </w:r>
      <w:r w:rsidR="00FC353D">
        <w:rPr>
          <w:lang w:val="en-IE"/>
        </w:rPr>
        <w:t>. T</w:t>
      </w:r>
      <w:r>
        <w:rPr>
          <w:lang w:val="en-IE"/>
        </w:rPr>
        <w:t xml:space="preserve">his means they are not </w:t>
      </w:r>
      <w:r w:rsidRPr="0059550D">
        <w:rPr>
          <w:lang w:val="en-IE"/>
        </w:rPr>
        <w:t xml:space="preserve">an “off the shelf” </w:t>
      </w:r>
      <w:r>
        <w:rPr>
          <w:lang w:val="en-IE"/>
        </w:rPr>
        <w:t xml:space="preserve">legislation that </w:t>
      </w:r>
      <w:r w:rsidR="00FC353D">
        <w:rPr>
          <w:lang w:val="en-IE"/>
        </w:rPr>
        <w:t>policy</w:t>
      </w:r>
      <w:r w:rsidR="00176151">
        <w:rPr>
          <w:lang w:val="en-IE"/>
        </w:rPr>
        <w:t xml:space="preserve"> </w:t>
      </w:r>
      <w:r w:rsidR="00FC353D">
        <w:rPr>
          <w:lang w:val="en-IE"/>
        </w:rPr>
        <w:t xml:space="preserve">makers </w:t>
      </w:r>
      <w:r>
        <w:rPr>
          <w:lang w:val="en-IE"/>
        </w:rPr>
        <w:t xml:space="preserve">can </w:t>
      </w:r>
      <w:r w:rsidR="00FC353D">
        <w:rPr>
          <w:lang w:val="en-IE"/>
        </w:rPr>
        <w:t>hand</w:t>
      </w:r>
      <w:r>
        <w:rPr>
          <w:lang w:val="en-IE"/>
        </w:rPr>
        <w:t xml:space="preserve"> over for implementation to IT departments. Instead, </w:t>
      </w:r>
      <w:r w:rsidRPr="0059550D">
        <w:rPr>
          <w:lang w:val="en-IE"/>
        </w:rPr>
        <w:t xml:space="preserve">before developers start </w:t>
      </w:r>
      <w:r w:rsidR="00FC353D">
        <w:rPr>
          <w:lang w:val="en-IE"/>
        </w:rPr>
        <w:t>any work</w:t>
      </w:r>
      <w:r w:rsidRPr="0059550D">
        <w:rPr>
          <w:lang w:val="en-IE"/>
        </w:rPr>
        <w:t xml:space="preserve">, procurement </w:t>
      </w:r>
      <w:r w:rsidRPr="007973D1">
        <w:rPr>
          <w:lang w:val="en-IE"/>
        </w:rPr>
        <w:t>policy decision-makers need to sit all stakeholders around the table and decide on how</w:t>
      </w:r>
      <w:r>
        <w:rPr>
          <w:lang w:val="en-IE"/>
        </w:rPr>
        <w:t xml:space="preserve"> various attributes of</w:t>
      </w:r>
      <w:r w:rsidRPr="007973D1">
        <w:rPr>
          <w:lang w:val="en-IE"/>
        </w:rPr>
        <w:t xml:space="preserve"> eForms should be implemented. </w:t>
      </w:r>
      <w:r>
        <w:rPr>
          <w:lang w:val="en-IE"/>
        </w:rPr>
        <w:t xml:space="preserve">The purpose of this handbook is to guide policy-makers through this </w:t>
      </w:r>
      <w:r w:rsidR="0069790C">
        <w:rPr>
          <w:lang w:val="en-IE"/>
        </w:rPr>
        <w:t xml:space="preserve">tailoring </w:t>
      </w:r>
      <w:r>
        <w:rPr>
          <w:lang w:val="en-IE"/>
        </w:rPr>
        <w:t xml:space="preserve">process. </w:t>
      </w:r>
    </w:p>
    <w:p w14:paraId="0DCC01F9" w14:textId="33A41269" w:rsidR="0069790C" w:rsidRDefault="0069790C" w:rsidP="007973D1">
      <w:pPr>
        <w:pStyle w:val="NoSpacing"/>
        <w:rPr>
          <w:lang w:val="en-IE"/>
        </w:rPr>
      </w:pPr>
    </w:p>
    <w:p w14:paraId="3CB5B4E7" w14:textId="1684DF84" w:rsidR="00F37407" w:rsidRPr="0059550D" w:rsidRDefault="00F37407" w:rsidP="00F37407">
      <w:pPr>
        <w:pStyle w:val="NoSpacing"/>
        <w:rPr>
          <w:lang w:val="en-IE"/>
        </w:rPr>
      </w:pPr>
      <w:r w:rsidRPr="0059550D">
        <w:rPr>
          <w:lang w:val="en-IE"/>
        </w:rPr>
        <w:t xml:space="preserve">Good implementation of eForms is an investment. It requires sufficient time and resources, but will have </w:t>
      </w:r>
      <w:r w:rsidR="005814C5">
        <w:rPr>
          <w:lang w:val="en-IE"/>
        </w:rPr>
        <w:t>considerable</w:t>
      </w:r>
      <w:r w:rsidRPr="0059550D">
        <w:rPr>
          <w:lang w:val="en-IE"/>
        </w:rPr>
        <w:t xml:space="preserve"> returns in time saved for all implementers and users.</w:t>
      </w:r>
      <w:r w:rsidRPr="003A6795">
        <w:rPr>
          <w:lang w:val="en-IE"/>
        </w:rPr>
        <w:t xml:space="preserve"> </w:t>
      </w:r>
      <w:r>
        <w:rPr>
          <w:lang w:val="en-IE"/>
        </w:rPr>
        <w:t>In particular, c</w:t>
      </w:r>
      <w:r w:rsidRPr="003A6795">
        <w:rPr>
          <w:lang w:val="en-IE"/>
        </w:rPr>
        <w:t>ontrary to previous standard forms, eForms are intended to be to a large degree filled in automatically by eProcurement systems, not users</w:t>
      </w:r>
      <w:r>
        <w:rPr>
          <w:lang w:val="en-IE"/>
        </w:rPr>
        <w:t>, thus significantly reducing administrative burden</w:t>
      </w:r>
      <w:r w:rsidRPr="003A6795">
        <w:rPr>
          <w:lang w:val="en-IE"/>
        </w:rPr>
        <w:t>.</w:t>
      </w:r>
    </w:p>
    <w:p w14:paraId="21E9C97A" w14:textId="77777777" w:rsidR="00F37407" w:rsidRDefault="00F37407" w:rsidP="00F37407">
      <w:pPr>
        <w:pStyle w:val="NoSpacing"/>
        <w:rPr>
          <w:lang w:val="en-IE"/>
        </w:rPr>
      </w:pPr>
    </w:p>
    <w:p w14:paraId="38632109" w14:textId="464FBA98" w:rsidR="0069790C" w:rsidRDefault="0069790C" w:rsidP="007973D1">
      <w:pPr>
        <w:pStyle w:val="NoSpacing"/>
        <w:rPr>
          <w:lang w:val="en-IE"/>
        </w:rPr>
      </w:pPr>
      <w:r>
        <w:rPr>
          <w:lang w:val="en-IE"/>
        </w:rPr>
        <w:t>The tailoring process requires decisions on questions such as</w:t>
      </w:r>
      <w:r w:rsidR="008C1B77">
        <w:rPr>
          <w:lang w:val="en-IE"/>
        </w:rPr>
        <w:t>, for example,</w:t>
      </w:r>
      <w:r>
        <w:rPr>
          <w:lang w:val="en-IE"/>
        </w:rPr>
        <w:t xml:space="preserve"> “Should eForms be used below-threshold?”, “Should </w:t>
      </w:r>
      <w:r w:rsidR="007C38D6">
        <w:rPr>
          <w:lang w:val="en-IE"/>
        </w:rPr>
        <w:t xml:space="preserve">notices be published </w:t>
      </w:r>
      <w:r>
        <w:rPr>
          <w:lang w:val="en-IE"/>
        </w:rPr>
        <w:t xml:space="preserve">for contracts </w:t>
      </w:r>
      <w:r w:rsidR="007C38D6">
        <w:rPr>
          <w:lang w:val="en-IE"/>
        </w:rPr>
        <w:t xml:space="preserve">based on </w:t>
      </w:r>
      <w:r>
        <w:rPr>
          <w:lang w:val="en-IE"/>
        </w:rPr>
        <w:t xml:space="preserve">framework agreements?”, “Are there any types of notices we do not need?”, “Which </w:t>
      </w:r>
      <w:r w:rsidR="00CF6E7A">
        <w:rPr>
          <w:lang w:val="en-IE"/>
        </w:rPr>
        <w:t xml:space="preserve">optional </w:t>
      </w:r>
      <w:r>
        <w:rPr>
          <w:lang w:val="en-IE"/>
        </w:rPr>
        <w:t>fields shall be</w:t>
      </w:r>
      <w:r w:rsidR="00913EDB">
        <w:rPr>
          <w:lang w:val="en-IE"/>
        </w:rPr>
        <w:t xml:space="preserve">come </w:t>
      </w:r>
      <w:r>
        <w:rPr>
          <w:lang w:val="en-IE"/>
        </w:rPr>
        <w:t xml:space="preserve"> mandatory?”, “Which </w:t>
      </w:r>
      <w:r w:rsidR="00913EDB">
        <w:rPr>
          <w:lang w:val="en-IE"/>
        </w:rPr>
        <w:t xml:space="preserve">optional </w:t>
      </w:r>
      <w:r>
        <w:rPr>
          <w:lang w:val="en-IE"/>
        </w:rPr>
        <w:t>fields shall not be used at all?”, “</w:t>
      </w:r>
      <w:r w:rsidR="007C38D6">
        <w:rPr>
          <w:lang w:val="en-IE"/>
        </w:rPr>
        <w:t xml:space="preserve">Will users be able to choose between </w:t>
      </w:r>
      <w:r>
        <w:rPr>
          <w:lang w:val="en-IE"/>
        </w:rPr>
        <w:t>IT solution</w:t>
      </w:r>
      <w:r w:rsidR="007C38D6">
        <w:rPr>
          <w:lang w:val="en-IE"/>
        </w:rPr>
        <w:t>s</w:t>
      </w:r>
      <w:r>
        <w:rPr>
          <w:lang w:val="en-IE"/>
        </w:rPr>
        <w:t xml:space="preserve"> </w:t>
      </w:r>
      <w:r w:rsidR="007C38D6">
        <w:rPr>
          <w:lang w:val="en-IE"/>
        </w:rPr>
        <w:t xml:space="preserve">used to </w:t>
      </w:r>
      <w:r>
        <w:rPr>
          <w:lang w:val="en-IE"/>
        </w:rPr>
        <w:t xml:space="preserve">fill in eForms?”, </w:t>
      </w:r>
      <w:r w:rsidR="008C1B77">
        <w:rPr>
          <w:lang w:val="en-IE"/>
        </w:rPr>
        <w:t xml:space="preserve">“Do we need any national platform for publishing notices, or is TED </w:t>
      </w:r>
      <w:r w:rsidR="008C1B77" w:rsidRPr="00750CDB">
        <w:rPr>
          <w:lang w:val="en-IE"/>
        </w:rPr>
        <w:t>enough</w:t>
      </w:r>
      <w:r w:rsidR="008C1B77" w:rsidRPr="00B03526">
        <w:rPr>
          <w:lang w:val="en-IE"/>
        </w:rPr>
        <w:t>?”</w:t>
      </w:r>
      <w:r w:rsidRPr="00B03526">
        <w:rPr>
          <w:lang w:val="en-IE"/>
        </w:rPr>
        <w:t xml:space="preserve">   </w:t>
      </w:r>
    </w:p>
    <w:p w14:paraId="1D2B8F4E" w14:textId="77777777" w:rsidR="00604DFD" w:rsidRDefault="00604DFD" w:rsidP="005458C3">
      <w:pPr>
        <w:pStyle w:val="NoSpacing"/>
        <w:rPr>
          <w:lang w:val="en-IE"/>
        </w:rPr>
      </w:pPr>
    </w:p>
    <w:p w14:paraId="5B02E3E6" w14:textId="457E6668" w:rsidR="005532AE" w:rsidRDefault="0069790C" w:rsidP="005458C3">
      <w:pPr>
        <w:pStyle w:val="NoSpacing"/>
        <w:rPr>
          <w:lang w:val="en-IE"/>
        </w:rPr>
      </w:pPr>
      <w:r>
        <w:rPr>
          <w:lang w:val="en-IE"/>
        </w:rPr>
        <w:t xml:space="preserve">The tailoring process needs to include all relevant stakeholders. </w:t>
      </w:r>
      <w:r w:rsidR="00051BF7">
        <w:rPr>
          <w:lang w:val="en-IE"/>
        </w:rPr>
        <w:t xml:space="preserve">The exact length </w:t>
      </w:r>
      <w:r w:rsidR="00BD41E4">
        <w:rPr>
          <w:lang w:val="en-IE"/>
        </w:rPr>
        <w:t xml:space="preserve">of this process </w:t>
      </w:r>
      <w:r w:rsidR="00051BF7">
        <w:rPr>
          <w:lang w:val="en-IE"/>
        </w:rPr>
        <w:t>depends on the size</w:t>
      </w:r>
      <w:r w:rsidR="00FA01D5">
        <w:rPr>
          <w:lang w:val="en-IE"/>
        </w:rPr>
        <w:t>,</w:t>
      </w:r>
      <w:r w:rsidR="00051BF7">
        <w:rPr>
          <w:lang w:val="en-IE"/>
        </w:rPr>
        <w:t xml:space="preserve"> </w:t>
      </w:r>
      <w:r w:rsidR="00FA01D5">
        <w:rPr>
          <w:lang w:val="en-IE"/>
        </w:rPr>
        <w:t>the complexity of the country</w:t>
      </w:r>
      <w:r w:rsidR="00176151">
        <w:rPr>
          <w:lang w:val="en-IE"/>
        </w:rPr>
        <w:t xml:space="preserve"> </w:t>
      </w:r>
      <w:r w:rsidR="00051BF7">
        <w:rPr>
          <w:lang w:val="en-IE"/>
        </w:rPr>
        <w:t xml:space="preserve">and other factors, but </w:t>
      </w:r>
      <w:r w:rsidR="00176151">
        <w:rPr>
          <w:lang w:val="en-IE"/>
        </w:rPr>
        <w:t xml:space="preserve">it </w:t>
      </w:r>
      <w:r w:rsidR="00871A59">
        <w:rPr>
          <w:lang w:val="en-IE"/>
        </w:rPr>
        <w:t>is expected to take</w:t>
      </w:r>
      <w:r w:rsidR="00051BF7">
        <w:rPr>
          <w:lang w:val="en-IE"/>
        </w:rPr>
        <w:t xml:space="preserve"> at least several months. </w:t>
      </w:r>
      <w:r>
        <w:rPr>
          <w:lang w:val="en-IE"/>
        </w:rPr>
        <w:t xml:space="preserve">The policy-driven tailoring process does not depend on any </w:t>
      </w:r>
      <w:r w:rsidR="00854771">
        <w:rPr>
          <w:lang w:val="en-IE"/>
        </w:rPr>
        <w:t xml:space="preserve">previously available </w:t>
      </w:r>
      <w:r w:rsidR="00176151">
        <w:rPr>
          <w:lang w:val="en-IE"/>
        </w:rPr>
        <w:t>technical document</w:t>
      </w:r>
      <w:r>
        <w:rPr>
          <w:lang w:val="en-IE"/>
        </w:rPr>
        <w:t xml:space="preserve"> </w:t>
      </w:r>
      <w:r w:rsidR="00176151">
        <w:rPr>
          <w:lang w:val="en-IE"/>
        </w:rPr>
        <w:t>therefore</w:t>
      </w:r>
      <w:r w:rsidR="00021AEE">
        <w:rPr>
          <w:lang w:val="en-IE"/>
        </w:rPr>
        <w:t xml:space="preserve"> it should start immediately. This will allow IT departments to start procurement and development work</w:t>
      </w:r>
      <w:r w:rsidR="005814C5">
        <w:rPr>
          <w:lang w:val="en-IE"/>
        </w:rPr>
        <w:t>,</w:t>
      </w:r>
      <w:r w:rsidR="00021AEE">
        <w:rPr>
          <w:lang w:val="en-IE"/>
        </w:rPr>
        <w:t xml:space="preserve"> so that eForms can be implemented in time</w:t>
      </w:r>
      <w:r w:rsidR="00B96B74">
        <w:rPr>
          <w:lang w:val="en-IE"/>
        </w:rPr>
        <w:t xml:space="preserve"> (14 November </w:t>
      </w:r>
      <w:r w:rsidR="00021AEE">
        <w:rPr>
          <w:lang w:val="en-IE"/>
        </w:rPr>
        <w:t xml:space="preserve">2022 for voluntarily use, </w:t>
      </w:r>
      <w:r w:rsidR="00B96B74">
        <w:rPr>
          <w:lang w:val="en-IE"/>
        </w:rPr>
        <w:t xml:space="preserve">14 November </w:t>
      </w:r>
      <w:r w:rsidR="00021AEE">
        <w:rPr>
          <w:lang w:val="en-IE"/>
        </w:rPr>
        <w:t>2023 for mandatory use</w:t>
      </w:r>
      <w:r w:rsidR="00B96B74">
        <w:rPr>
          <w:lang w:val="en-IE"/>
        </w:rPr>
        <w:t>)</w:t>
      </w:r>
      <w:r w:rsidR="00021AEE">
        <w:rPr>
          <w:lang w:val="en-IE"/>
        </w:rPr>
        <w:t xml:space="preserve">. </w:t>
      </w:r>
    </w:p>
    <w:p w14:paraId="226A1FC8" w14:textId="014A746B" w:rsidR="007973D1" w:rsidRDefault="007973D1" w:rsidP="005458C3">
      <w:pPr>
        <w:pStyle w:val="NoSpacing"/>
        <w:rPr>
          <w:lang w:val="en-IE"/>
        </w:rPr>
      </w:pPr>
    </w:p>
    <w:p w14:paraId="11E70100" w14:textId="04A3F172" w:rsidR="005E098F" w:rsidRDefault="008461FE" w:rsidP="008461FE">
      <w:pPr>
        <w:pStyle w:val="CommentText"/>
        <w:rPr>
          <w:sz w:val="22"/>
          <w:szCs w:val="22"/>
          <w:lang w:val="en-IE"/>
        </w:rPr>
      </w:pPr>
      <w:r w:rsidRPr="0059550D">
        <w:rPr>
          <w:sz w:val="22"/>
          <w:szCs w:val="22"/>
          <w:lang w:val="en-IE"/>
        </w:rPr>
        <w:t>Translations of this document are provided on request (</w:t>
      </w:r>
      <w:r w:rsidR="008F7413">
        <w:rPr>
          <w:sz w:val="22"/>
          <w:szCs w:val="22"/>
          <w:lang w:val="en-IE"/>
        </w:rPr>
        <w:t xml:space="preserve">at </w:t>
      </w:r>
      <w:hyperlink r:id="rId11" w:history="1">
        <w:r w:rsidRPr="0059550D">
          <w:rPr>
            <w:rStyle w:val="Hyperlink"/>
            <w:sz w:val="22"/>
            <w:szCs w:val="22"/>
            <w:lang w:val="en-IE"/>
          </w:rPr>
          <w:t>GROW-G4@ec.europea.eu</w:t>
        </w:r>
      </w:hyperlink>
      <w:r w:rsidRPr="0059550D">
        <w:rPr>
          <w:sz w:val="22"/>
          <w:szCs w:val="22"/>
          <w:lang w:val="en-IE"/>
        </w:rPr>
        <w:t xml:space="preserve">). </w:t>
      </w:r>
    </w:p>
    <w:p w14:paraId="20725C30" w14:textId="77777777" w:rsidR="005E098F" w:rsidRDefault="005E098F">
      <w:pPr>
        <w:spacing w:after="200" w:line="276" w:lineRule="auto"/>
        <w:rPr>
          <w:lang w:val="en-IE"/>
        </w:rPr>
      </w:pPr>
      <w:r>
        <w:rPr>
          <w:lang w:val="en-IE"/>
        </w:rPr>
        <w:br w:type="page"/>
      </w:r>
    </w:p>
    <w:p w14:paraId="5F8D4F31" w14:textId="0E8B5685" w:rsidR="00CE3C91" w:rsidRPr="0059550D" w:rsidRDefault="0086697B" w:rsidP="00FC0EBB">
      <w:pPr>
        <w:pStyle w:val="Heading1"/>
        <w:rPr>
          <w:lang w:val="en-IE"/>
        </w:rPr>
      </w:pPr>
      <w:bookmarkStart w:id="2" w:name="_Toc25684058"/>
      <w:r w:rsidRPr="0059550D">
        <w:rPr>
          <w:lang w:val="en-IE"/>
        </w:rPr>
        <w:lastRenderedPageBreak/>
        <w:t>Using</w:t>
      </w:r>
      <w:r w:rsidR="0094514D" w:rsidRPr="0059550D">
        <w:rPr>
          <w:lang w:val="en-IE"/>
        </w:rPr>
        <w:t xml:space="preserve"> this </w:t>
      </w:r>
      <w:r w:rsidR="00CE3C91" w:rsidRPr="0059550D">
        <w:rPr>
          <w:lang w:val="en-IE"/>
        </w:rPr>
        <w:t>handbook</w:t>
      </w:r>
      <w:bookmarkEnd w:id="2"/>
    </w:p>
    <w:p w14:paraId="572AB897" w14:textId="67D3A844" w:rsidR="00CE3C91" w:rsidRPr="0059550D" w:rsidRDefault="00CE3C91" w:rsidP="00214E3A">
      <w:pPr>
        <w:pStyle w:val="NoSpacing"/>
        <w:rPr>
          <w:lang w:val="en-IE"/>
        </w:rPr>
      </w:pPr>
    </w:p>
    <w:p w14:paraId="7C6477C3" w14:textId="2524CD0D" w:rsidR="00626C83" w:rsidRDefault="00484EF0" w:rsidP="00626C83">
      <w:pPr>
        <w:pStyle w:val="NoSpacing"/>
        <w:rPr>
          <w:lang w:val="en-IE"/>
        </w:rPr>
      </w:pPr>
      <w:r w:rsidRPr="0059550D">
        <w:rPr>
          <w:lang w:val="en-IE"/>
        </w:rPr>
        <w:t xml:space="preserve">The chapter explains </w:t>
      </w:r>
      <w:r w:rsidR="00626C83">
        <w:rPr>
          <w:lang w:val="en-IE"/>
        </w:rPr>
        <w:t xml:space="preserve">why and how to read this handbook. </w:t>
      </w:r>
    </w:p>
    <w:p w14:paraId="631B6DD1" w14:textId="77777777" w:rsidR="00437BC5" w:rsidRDefault="00437BC5" w:rsidP="00626C83">
      <w:pPr>
        <w:pStyle w:val="NoSpacing"/>
        <w:rPr>
          <w:lang w:val="en-IE"/>
        </w:rPr>
      </w:pPr>
    </w:p>
    <w:p w14:paraId="2FCE721A" w14:textId="73DC68B2" w:rsidR="00437BC5" w:rsidRDefault="00077DCF" w:rsidP="00626C83">
      <w:pPr>
        <w:pStyle w:val="NoSpacing"/>
        <w:rPr>
          <w:lang w:val="en-IE"/>
        </w:rPr>
      </w:pPr>
      <w:r>
        <w:rPr>
          <w:lang w:val="en-IE"/>
        </w:rPr>
        <w:t>This handbook is part of a</w:t>
      </w:r>
      <w:r w:rsidR="00437BC5">
        <w:rPr>
          <w:lang w:val="en-IE"/>
        </w:rPr>
        <w:t>n</w:t>
      </w:r>
      <w:r>
        <w:rPr>
          <w:lang w:val="en-IE"/>
        </w:rPr>
        <w:t xml:space="preserve"> information package to support the implementation of </w:t>
      </w:r>
      <w:r w:rsidR="00437BC5">
        <w:rPr>
          <w:lang w:val="en-IE"/>
        </w:rPr>
        <w:t>the</w:t>
      </w:r>
      <w:r>
        <w:rPr>
          <w:lang w:val="en-IE"/>
        </w:rPr>
        <w:t xml:space="preserve"> </w:t>
      </w:r>
      <w:r w:rsidR="00437BC5">
        <w:rPr>
          <w:lang w:val="en-IE"/>
        </w:rPr>
        <w:t xml:space="preserve">Commission Implementing Regulation </w:t>
      </w:r>
      <w:r w:rsidR="00B62C1F" w:rsidRPr="00B62C1F">
        <w:rPr>
          <w:lang w:val="en-IE"/>
        </w:rPr>
        <w:t>(EU) 2019/1780</w:t>
      </w:r>
      <w:r w:rsidR="00437BC5">
        <w:rPr>
          <w:lang w:val="en-IE"/>
        </w:rPr>
        <w:t xml:space="preserve"> </w:t>
      </w:r>
      <w:r w:rsidR="00A62571" w:rsidRPr="00A62571">
        <w:rPr>
          <w:lang w:val="en-IE"/>
        </w:rPr>
        <w:t xml:space="preserve">of 23 September 2019 </w:t>
      </w:r>
      <w:r w:rsidR="00437BC5">
        <w:rPr>
          <w:lang w:val="en-IE"/>
        </w:rPr>
        <w:t>establishing standard forms for the publication of notices in the field of public procurement (refer</w:t>
      </w:r>
      <w:r w:rsidR="008F5F40">
        <w:rPr>
          <w:lang w:val="en-IE"/>
        </w:rPr>
        <w:t>r</w:t>
      </w:r>
      <w:r w:rsidR="00437BC5">
        <w:rPr>
          <w:lang w:val="en-IE"/>
        </w:rPr>
        <w:t>ed to as “eForms Implementing Regulation”</w:t>
      </w:r>
      <w:r w:rsidR="00437BC5">
        <w:rPr>
          <w:rStyle w:val="FootnoteReference"/>
          <w:lang w:val="en-IE"/>
        </w:rPr>
        <w:footnoteReference w:id="3"/>
      </w:r>
      <w:r w:rsidR="00437BC5">
        <w:rPr>
          <w:lang w:val="en-IE"/>
        </w:rPr>
        <w:t xml:space="preserve">). </w:t>
      </w:r>
    </w:p>
    <w:p w14:paraId="784E1E92" w14:textId="77777777" w:rsidR="00A62571" w:rsidRDefault="00A62571" w:rsidP="00626C83">
      <w:pPr>
        <w:pStyle w:val="NoSpacing"/>
        <w:rPr>
          <w:lang w:val="en-IE"/>
        </w:rPr>
      </w:pPr>
    </w:p>
    <w:p w14:paraId="0D902833" w14:textId="1DFC24CB" w:rsidR="00437BC5" w:rsidRDefault="00437BC5" w:rsidP="00626C83">
      <w:pPr>
        <w:pStyle w:val="NoSpacing"/>
        <w:rPr>
          <w:lang w:val="en-IE"/>
        </w:rPr>
      </w:pPr>
      <w:r>
        <w:rPr>
          <w:lang w:val="en-IE"/>
        </w:rPr>
        <w:t>The information package is composed by the following documents:</w:t>
      </w:r>
    </w:p>
    <w:p w14:paraId="035BB36B" w14:textId="77777777" w:rsidR="00437BC5" w:rsidRDefault="00437BC5" w:rsidP="00A31CCE">
      <w:pPr>
        <w:pStyle w:val="NoSpacing"/>
        <w:ind w:left="720"/>
        <w:rPr>
          <w:lang w:val="en-IE"/>
        </w:rPr>
      </w:pPr>
    </w:p>
    <w:p w14:paraId="752FE635" w14:textId="6A238080" w:rsidR="00437BC5" w:rsidRDefault="00437BC5" w:rsidP="00BE2035">
      <w:pPr>
        <w:pStyle w:val="NoSpacing"/>
        <w:numPr>
          <w:ilvl w:val="0"/>
          <w:numId w:val="59"/>
        </w:numPr>
        <w:rPr>
          <w:lang w:val="en-IE"/>
        </w:rPr>
      </w:pPr>
      <w:r w:rsidRPr="00437BC5">
        <w:rPr>
          <w:lang w:val="en-IE"/>
        </w:rPr>
        <w:t>eForms Policy Implementation Handbook</w:t>
      </w:r>
      <w:r>
        <w:rPr>
          <w:lang w:val="en-IE"/>
        </w:rPr>
        <w:t xml:space="preserve">  (this document)</w:t>
      </w:r>
    </w:p>
    <w:p w14:paraId="43BF5904" w14:textId="3D0B4009" w:rsidR="00437BC5" w:rsidRPr="00750CDB" w:rsidRDefault="00437BC5" w:rsidP="00BE2035">
      <w:pPr>
        <w:pStyle w:val="NoSpacing"/>
        <w:numPr>
          <w:ilvl w:val="0"/>
          <w:numId w:val="59"/>
        </w:numPr>
        <w:rPr>
          <w:lang w:val="en-IE"/>
        </w:rPr>
      </w:pPr>
      <w:r w:rsidRPr="00750CDB">
        <w:rPr>
          <w:lang w:val="en-IE"/>
        </w:rPr>
        <w:t xml:space="preserve">eForms Implementation </w:t>
      </w:r>
      <w:r w:rsidR="00AA7814" w:rsidRPr="00750CDB">
        <w:rPr>
          <w:lang w:val="en-IE"/>
        </w:rPr>
        <w:t>Guidelines</w:t>
      </w:r>
    </w:p>
    <w:p w14:paraId="1EC6CAFE" w14:textId="4C1B33AF" w:rsidR="00437BC5" w:rsidRDefault="00437BC5" w:rsidP="00BE2035">
      <w:pPr>
        <w:pStyle w:val="NoSpacing"/>
        <w:numPr>
          <w:ilvl w:val="0"/>
          <w:numId w:val="59"/>
        </w:numPr>
        <w:rPr>
          <w:lang w:val="en-IE"/>
        </w:rPr>
      </w:pPr>
      <w:r>
        <w:rPr>
          <w:lang w:val="en-IE"/>
        </w:rPr>
        <w:t>eForms Governance</w:t>
      </w:r>
      <w:r w:rsidR="00BE2035">
        <w:rPr>
          <w:lang w:val="en-IE"/>
        </w:rPr>
        <w:t xml:space="preserve"> </w:t>
      </w:r>
      <w:r w:rsidR="004A06AE">
        <w:rPr>
          <w:lang w:val="en-IE"/>
        </w:rPr>
        <w:t>d</w:t>
      </w:r>
      <w:r w:rsidR="00BE2035">
        <w:rPr>
          <w:lang w:val="en-IE"/>
        </w:rPr>
        <w:t>ocument</w:t>
      </w:r>
    </w:p>
    <w:p w14:paraId="5152130E" w14:textId="77777777" w:rsidR="00077DCF" w:rsidRDefault="00077DCF" w:rsidP="00626C83">
      <w:pPr>
        <w:pStyle w:val="NoSpacing"/>
        <w:rPr>
          <w:lang w:val="en-IE"/>
        </w:rPr>
      </w:pPr>
    </w:p>
    <w:p w14:paraId="7AEDA185" w14:textId="66B996EF" w:rsidR="00790D02" w:rsidRPr="0059550D" w:rsidRDefault="000126DE" w:rsidP="00626C83">
      <w:pPr>
        <w:pStyle w:val="NoSpacing"/>
        <w:rPr>
          <w:lang w:val="en-IE"/>
        </w:rPr>
      </w:pPr>
      <w:r w:rsidRPr="0059550D">
        <w:rPr>
          <w:lang w:val="en-IE"/>
        </w:rPr>
        <w:t>Before reading th</w:t>
      </w:r>
      <w:r w:rsidR="00437BC5">
        <w:rPr>
          <w:lang w:val="en-IE"/>
        </w:rPr>
        <w:t>is</w:t>
      </w:r>
      <w:r w:rsidRPr="0059550D">
        <w:rPr>
          <w:lang w:val="en-IE"/>
        </w:rPr>
        <w:t xml:space="preserve"> document, readers should first read </w:t>
      </w:r>
      <w:r w:rsidR="00790D02" w:rsidRPr="0059550D">
        <w:rPr>
          <w:lang w:val="en-IE"/>
        </w:rPr>
        <w:t xml:space="preserve">the eForms Implementing Regulation. </w:t>
      </w:r>
    </w:p>
    <w:p w14:paraId="60640486" w14:textId="3C284A58" w:rsidR="008461FE" w:rsidRPr="0059550D" w:rsidRDefault="008461FE" w:rsidP="00214E3A">
      <w:pPr>
        <w:pStyle w:val="NoSpacing"/>
        <w:rPr>
          <w:lang w:val="en-IE"/>
        </w:rPr>
      </w:pPr>
    </w:p>
    <w:p w14:paraId="4E2539B4" w14:textId="45DC1CBE" w:rsidR="00144F3D" w:rsidRPr="0059550D" w:rsidRDefault="008461FE" w:rsidP="008461FE">
      <w:pPr>
        <w:pStyle w:val="CommentText"/>
        <w:rPr>
          <w:sz w:val="22"/>
          <w:szCs w:val="22"/>
          <w:lang w:val="en-IE"/>
        </w:rPr>
      </w:pPr>
      <w:r w:rsidRPr="0059550D">
        <w:rPr>
          <w:sz w:val="22"/>
          <w:szCs w:val="22"/>
          <w:lang w:val="en-IE"/>
        </w:rPr>
        <w:t xml:space="preserve">Translations of this document are provided on request (please write to </w:t>
      </w:r>
      <w:hyperlink r:id="rId12" w:history="1">
        <w:r w:rsidRPr="0059550D">
          <w:rPr>
            <w:rStyle w:val="Hyperlink"/>
            <w:sz w:val="22"/>
            <w:szCs w:val="22"/>
            <w:lang w:val="en-IE"/>
          </w:rPr>
          <w:t>GROW-G4@ec.europea.eu</w:t>
        </w:r>
      </w:hyperlink>
      <w:r w:rsidRPr="0059550D">
        <w:rPr>
          <w:sz w:val="22"/>
          <w:szCs w:val="22"/>
          <w:lang w:val="en-IE"/>
        </w:rPr>
        <w:t xml:space="preserve">).  </w:t>
      </w:r>
    </w:p>
    <w:p w14:paraId="4B65A8F4" w14:textId="4973BB11" w:rsidR="001A2983" w:rsidRPr="0059550D" w:rsidRDefault="001A2983" w:rsidP="0038707F">
      <w:pPr>
        <w:pStyle w:val="Heading2"/>
        <w:rPr>
          <w:lang w:val="en-IE"/>
        </w:rPr>
      </w:pPr>
      <w:bookmarkStart w:id="3" w:name="_Toc25684059"/>
      <w:r w:rsidRPr="0059550D">
        <w:rPr>
          <w:lang w:val="en-IE"/>
        </w:rPr>
        <w:t>Purpose</w:t>
      </w:r>
      <w:r w:rsidR="00C6256B" w:rsidRPr="0059550D">
        <w:rPr>
          <w:lang w:val="en-IE"/>
        </w:rPr>
        <w:t xml:space="preserve"> &amp; Audience</w:t>
      </w:r>
      <w:bookmarkEnd w:id="3"/>
    </w:p>
    <w:p w14:paraId="1F88D1FA" w14:textId="4E22DB22" w:rsidR="001067FD" w:rsidRPr="0059550D" w:rsidRDefault="001067FD" w:rsidP="00214E3A">
      <w:pPr>
        <w:pStyle w:val="NoSpacing"/>
        <w:rPr>
          <w:lang w:val="en-IE"/>
        </w:rPr>
      </w:pPr>
      <w:r w:rsidRPr="0059550D">
        <w:rPr>
          <w:lang w:val="en-IE"/>
        </w:rPr>
        <w:t xml:space="preserve">eForms are not an “off the shelf” product that can </w:t>
      </w:r>
      <w:r w:rsidR="00AA7814">
        <w:rPr>
          <w:lang w:val="en-IE"/>
        </w:rPr>
        <w:t xml:space="preserve">be </w:t>
      </w:r>
      <w:r w:rsidRPr="0059550D">
        <w:rPr>
          <w:lang w:val="en-IE"/>
        </w:rPr>
        <w:t xml:space="preserve">implemented only by IT developers. Instead, before developers start working, procurement policy decision-makers </w:t>
      </w:r>
      <w:r w:rsidR="00472EC6" w:rsidRPr="0059550D">
        <w:rPr>
          <w:lang w:val="en-IE"/>
        </w:rPr>
        <w:t xml:space="preserve">must </w:t>
      </w:r>
      <w:r w:rsidRPr="0059550D">
        <w:rPr>
          <w:lang w:val="en-IE"/>
        </w:rPr>
        <w:t xml:space="preserve">make a wide range of policy-related decisions on how eForms should be </w:t>
      </w:r>
      <w:r w:rsidR="00472EC6" w:rsidRPr="0059550D">
        <w:rPr>
          <w:lang w:val="en-IE"/>
        </w:rPr>
        <w:t>used</w:t>
      </w:r>
      <w:r w:rsidRPr="0059550D">
        <w:rPr>
          <w:lang w:val="en-IE"/>
        </w:rPr>
        <w:t xml:space="preserve">. </w:t>
      </w:r>
      <w:r w:rsidR="00113D97" w:rsidRPr="0059550D">
        <w:rPr>
          <w:lang w:val="en-IE"/>
        </w:rPr>
        <w:t>T</w:t>
      </w:r>
      <w:r w:rsidR="00484EF0" w:rsidRPr="0059550D">
        <w:rPr>
          <w:lang w:val="en-IE"/>
        </w:rPr>
        <w:t>his document is a practical</w:t>
      </w:r>
      <w:r w:rsidR="008B1BD1" w:rsidRPr="0059550D">
        <w:rPr>
          <w:lang w:val="en-IE"/>
        </w:rPr>
        <w:t>, step-by-step</w:t>
      </w:r>
      <w:r w:rsidR="00484EF0" w:rsidRPr="0059550D">
        <w:rPr>
          <w:lang w:val="en-IE"/>
        </w:rPr>
        <w:t xml:space="preserve"> </w:t>
      </w:r>
      <w:r w:rsidR="005814C5">
        <w:rPr>
          <w:lang w:val="en-IE"/>
        </w:rPr>
        <w:t>guide</w:t>
      </w:r>
      <w:r w:rsidR="005814C5" w:rsidRPr="0059550D">
        <w:rPr>
          <w:lang w:val="en-IE"/>
        </w:rPr>
        <w:t xml:space="preserve"> </w:t>
      </w:r>
      <w:r w:rsidR="00484EF0" w:rsidRPr="0059550D">
        <w:rPr>
          <w:lang w:val="en-IE"/>
        </w:rPr>
        <w:t xml:space="preserve">for </w:t>
      </w:r>
      <w:r w:rsidRPr="0059550D">
        <w:rPr>
          <w:lang w:val="en-IE"/>
        </w:rPr>
        <w:t xml:space="preserve">making these decisions. </w:t>
      </w:r>
    </w:p>
    <w:p w14:paraId="363BAF75" w14:textId="77777777" w:rsidR="001067FD" w:rsidRPr="0059550D" w:rsidRDefault="001067FD" w:rsidP="00214E3A">
      <w:pPr>
        <w:pStyle w:val="NoSpacing"/>
        <w:rPr>
          <w:lang w:val="en-IE"/>
        </w:rPr>
      </w:pPr>
    </w:p>
    <w:p w14:paraId="719BB95A" w14:textId="77777777" w:rsidR="008F5F40" w:rsidRDefault="00C173ED" w:rsidP="00214E3A">
      <w:pPr>
        <w:pStyle w:val="NoSpacing"/>
        <w:rPr>
          <w:lang w:val="en-IE"/>
        </w:rPr>
      </w:pPr>
      <w:r w:rsidRPr="0059550D">
        <w:rPr>
          <w:lang w:val="en-IE"/>
        </w:rPr>
        <w:t xml:space="preserve">A </w:t>
      </w:r>
      <w:r w:rsidR="0075560C" w:rsidRPr="0059550D">
        <w:rPr>
          <w:lang w:val="en-IE"/>
        </w:rPr>
        <w:t>“policy-related” decision mean</w:t>
      </w:r>
      <w:r w:rsidRPr="0059550D">
        <w:rPr>
          <w:lang w:val="en-IE"/>
        </w:rPr>
        <w:t>s</w:t>
      </w:r>
      <w:r w:rsidR="0075560C" w:rsidRPr="0059550D">
        <w:rPr>
          <w:lang w:val="en-IE"/>
        </w:rPr>
        <w:t xml:space="preserve"> </w:t>
      </w:r>
      <w:r w:rsidRPr="0059550D">
        <w:rPr>
          <w:lang w:val="en-IE"/>
        </w:rPr>
        <w:t xml:space="preserve">a </w:t>
      </w:r>
      <w:r w:rsidR="0075560C" w:rsidRPr="0059550D">
        <w:rPr>
          <w:lang w:val="en-IE"/>
        </w:rPr>
        <w:t xml:space="preserve">decision where eForms implementation </w:t>
      </w:r>
      <w:r w:rsidR="004726F5" w:rsidRPr="0059550D">
        <w:rPr>
          <w:lang w:val="en-IE"/>
        </w:rPr>
        <w:t xml:space="preserve">will </w:t>
      </w:r>
      <w:r w:rsidR="0075560C" w:rsidRPr="0059550D">
        <w:rPr>
          <w:lang w:val="en-IE"/>
        </w:rPr>
        <w:t xml:space="preserve">influence procurement practice. Policy-decisions cover business considerations, legal considerations, as well as consideration about additional aims of procurement such as supporting green, social and innovative procurement, increasing </w:t>
      </w:r>
      <w:r w:rsidR="00F60A7E" w:rsidRPr="0059550D">
        <w:rPr>
          <w:lang w:val="en-IE"/>
        </w:rPr>
        <w:t xml:space="preserve">professionalisation and </w:t>
      </w:r>
      <w:r w:rsidR="0075560C" w:rsidRPr="0059550D">
        <w:rPr>
          <w:lang w:val="en-IE"/>
        </w:rPr>
        <w:t xml:space="preserve">trust in procurement, and fighting corruption and collusion. </w:t>
      </w:r>
      <w:r w:rsidR="007A3F61" w:rsidRPr="007A3F61">
        <w:rPr>
          <w:lang w:val="en-IE"/>
        </w:rPr>
        <w:t xml:space="preserve"> </w:t>
      </w:r>
    </w:p>
    <w:p w14:paraId="14B64ECE" w14:textId="77777777" w:rsidR="008F5F40" w:rsidRDefault="008F5F40" w:rsidP="00214E3A">
      <w:pPr>
        <w:pStyle w:val="NoSpacing"/>
        <w:rPr>
          <w:lang w:val="en-IE"/>
        </w:rPr>
      </w:pPr>
    </w:p>
    <w:p w14:paraId="014375D7" w14:textId="3D446E3C" w:rsidR="00800730" w:rsidRDefault="007A3F61" w:rsidP="00214E3A">
      <w:pPr>
        <w:pStyle w:val="NoSpacing"/>
        <w:rPr>
          <w:lang w:val="en-IE"/>
        </w:rPr>
      </w:pPr>
      <w:r w:rsidRPr="0059550D">
        <w:rPr>
          <w:lang w:val="en-IE"/>
        </w:rPr>
        <w:t xml:space="preserve">The main </w:t>
      </w:r>
      <w:r>
        <w:rPr>
          <w:lang w:val="en-IE"/>
        </w:rPr>
        <w:t xml:space="preserve">intended </w:t>
      </w:r>
      <w:r w:rsidRPr="0059550D">
        <w:rPr>
          <w:lang w:val="en-IE"/>
        </w:rPr>
        <w:t>reader of this document is the policy officer responsible for an eForms implementation. Additional readers include policy officers responsible for particular</w:t>
      </w:r>
      <w:r>
        <w:rPr>
          <w:lang w:val="en-IE"/>
        </w:rPr>
        <w:t xml:space="preserve"> sectoral</w:t>
      </w:r>
      <w:r w:rsidRPr="0059550D">
        <w:rPr>
          <w:lang w:val="en-IE"/>
        </w:rPr>
        <w:t xml:space="preserve"> policies</w:t>
      </w:r>
      <w:r>
        <w:rPr>
          <w:lang w:val="en-IE"/>
        </w:rPr>
        <w:t>.</w:t>
      </w:r>
    </w:p>
    <w:p w14:paraId="68320C7E" w14:textId="308D0BAB" w:rsidR="00800730" w:rsidRPr="0059550D" w:rsidRDefault="00800730" w:rsidP="00800730">
      <w:pPr>
        <w:pStyle w:val="NoSpacing"/>
        <w:rPr>
          <w:lang w:val="en-IE"/>
        </w:rPr>
      </w:pPr>
      <w:r w:rsidRPr="0059550D">
        <w:rPr>
          <w:lang w:val="en-IE"/>
        </w:rPr>
        <w:t xml:space="preserve">IT developers may </w:t>
      </w:r>
      <w:r w:rsidR="00FA01D5">
        <w:rPr>
          <w:lang w:val="en-IE"/>
        </w:rPr>
        <w:t xml:space="preserve">also </w:t>
      </w:r>
      <w:r w:rsidRPr="0059550D">
        <w:rPr>
          <w:lang w:val="en-IE"/>
        </w:rPr>
        <w:t xml:space="preserve">benefit from better understanding the policy side of eForms and thus may want to read </w:t>
      </w:r>
      <w:r w:rsidR="00C35CA1">
        <w:rPr>
          <w:lang w:val="en-IE"/>
        </w:rPr>
        <w:t>this Policy Implementation Handbook</w:t>
      </w:r>
      <w:r w:rsidRPr="0059550D">
        <w:rPr>
          <w:lang w:val="en-IE"/>
        </w:rPr>
        <w:t xml:space="preserve"> anyway. </w:t>
      </w:r>
    </w:p>
    <w:p w14:paraId="68FE968B" w14:textId="2D9D7218" w:rsidR="00093EDA" w:rsidRPr="0059550D" w:rsidRDefault="00093EDA" w:rsidP="00214E3A">
      <w:pPr>
        <w:pStyle w:val="NoSpacing"/>
        <w:rPr>
          <w:lang w:val="en-IE"/>
        </w:rPr>
      </w:pPr>
    </w:p>
    <w:p w14:paraId="7D2D7493" w14:textId="4A9A9C70" w:rsidR="00093EDA" w:rsidRPr="0059550D" w:rsidRDefault="00093EDA" w:rsidP="00093EDA">
      <w:pPr>
        <w:pStyle w:val="NoSpacing"/>
        <w:rPr>
          <w:lang w:val="en-IE"/>
        </w:rPr>
      </w:pPr>
      <w:r w:rsidRPr="0059550D">
        <w:rPr>
          <w:lang w:val="en-IE"/>
        </w:rPr>
        <w:t>Policy decisions need to be taken for each system implementing eForms. This means this document is useful for national, regional or even local</w:t>
      </w:r>
      <w:r w:rsidRPr="0059550D">
        <w:rPr>
          <w:rStyle w:val="FootnoteReference"/>
          <w:lang w:val="en-IE"/>
        </w:rPr>
        <w:footnoteReference w:id="4"/>
      </w:r>
      <w:r w:rsidRPr="0059550D">
        <w:rPr>
          <w:lang w:val="en-IE"/>
        </w:rPr>
        <w:t xml:space="preserve"> policymakers, or, in case of private providers implementing eForms </w:t>
      </w:r>
      <w:r w:rsidR="00FA01D5">
        <w:rPr>
          <w:lang w:val="en-IE"/>
        </w:rPr>
        <w:t xml:space="preserve">and </w:t>
      </w:r>
      <w:r w:rsidRPr="0059550D">
        <w:rPr>
          <w:lang w:val="en-IE"/>
        </w:rPr>
        <w:t>private companies. However, if national or regional legislation establishes a mandatory approach for certain eForms features, then these decisions will not be taken by each implementer.</w:t>
      </w:r>
    </w:p>
    <w:p w14:paraId="5A7EBE93" w14:textId="7DEB2A50" w:rsidR="00A41A68" w:rsidRPr="0059550D" w:rsidRDefault="00A41A68" w:rsidP="00093EDA">
      <w:pPr>
        <w:pStyle w:val="NoSpacing"/>
        <w:rPr>
          <w:lang w:val="en-IE"/>
        </w:rPr>
      </w:pPr>
    </w:p>
    <w:p w14:paraId="05FE1F32" w14:textId="11463AA7" w:rsidR="000413E5" w:rsidRDefault="005969C5" w:rsidP="00BA6AF8">
      <w:pPr>
        <w:pStyle w:val="NoSpacing"/>
        <w:rPr>
          <w:lang w:val="en-IE"/>
        </w:rPr>
      </w:pPr>
      <w:r w:rsidRPr="0059550D">
        <w:rPr>
          <w:lang w:val="en-IE"/>
        </w:rPr>
        <w:t xml:space="preserve">eForms must be </w:t>
      </w:r>
      <w:r w:rsidR="008F58B3">
        <w:rPr>
          <w:lang w:val="en-IE"/>
        </w:rPr>
        <w:t xml:space="preserve">used </w:t>
      </w:r>
      <w:r w:rsidR="008F58B3" w:rsidRPr="00CF6E7A">
        <w:rPr>
          <w:lang w:val="en-IE"/>
        </w:rPr>
        <w:t>from</w:t>
      </w:r>
      <w:r w:rsidRPr="00586C25">
        <w:rPr>
          <w:lang w:val="en-IE"/>
        </w:rPr>
        <w:t xml:space="preserve"> </w:t>
      </w:r>
      <w:r w:rsidR="00AA7814" w:rsidRPr="009E0F4D">
        <w:rPr>
          <w:lang w:val="en-IE"/>
        </w:rPr>
        <w:t xml:space="preserve">14 November </w:t>
      </w:r>
      <w:r w:rsidRPr="009E0F4D">
        <w:rPr>
          <w:lang w:val="en-IE"/>
        </w:rPr>
        <w:t>2023</w:t>
      </w:r>
      <w:r w:rsidR="008F58B3" w:rsidRPr="00CF6E7A">
        <w:rPr>
          <w:lang w:val="en-IE"/>
        </w:rPr>
        <w:t xml:space="preserve"> and </w:t>
      </w:r>
      <w:r w:rsidRPr="00586C25">
        <w:rPr>
          <w:lang w:val="en-IE"/>
        </w:rPr>
        <w:t xml:space="preserve">voluntary use </w:t>
      </w:r>
      <w:r w:rsidR="00604DFD">
        <w:rPr>
          <w:lang w:val="en-IE"/>
        </w:rPr>
        <w:t xml:space="preserve">is </w:t>
      </w:r>
      <w:r w:rsidR="008F58B3" w:rsidRPr="00586C25">
        <w:rPr>
          <w:lang w:val="en-IE"/>
        </w:rPr>
        <w:t xml:space="preserve">allowed </w:t>
      </w:r>
      <w:r w:rsidRPr="00586C25">
        <w:rPr>
          <w:lang w:val="en-IE"/>
        </w:rPr>
        <w:t xml:space="preserve">from </w:t>
      </w:r>
      <w:r w:rsidR="00AA7814" w:rsidRPr="009E0F4D">
        <w:rPr>
          <w:lang w:val="en-IE"/>
        </w:rPr>
        <w:t xml:space="preserve">14 November </w:t>
      </w:r>
      <w:r w:rsidRPr="009E0F4D">
        <w:rPr>
          <w:lang w:val="en-IE"/>
        </w:rPr>
        <w:t>2022.</w:t>
      </w:r>
      <w:r w:rsidRPr="0059550D">
        <w:rPr>
          <w:lang w:val="en-IE"/>
        </w:rPr>
        <w:t xml:space="preserve"> </w:t>
      </w:r>
      <w:r w:rsidR="00BA6AF8" w:rsidRPr="0059550D">
        <w:rPr>
          <w:lang w:val="en-IE"/>
        </w:rPr>
        <w:t xml:space="preserve">Depending on the complexity of the country, </w:t>
      </w:r>
      <w:r w:rsidR="00A41A68" w:rsidRPr="0059550D">
        <w:rPr>
          <w:lang w:val="en-IE"/>
        </w:rPr>
        <w:t xml:space="preserve">making the policy decisions described in this handbook </w:t>
      </w:r>
      <w:r w:rsidR="00BA6AF8" w:rsidRPr="0059550D">
        <w:rPr>
          <w:lang w:val="en-IE"/>
        </w:rPr>
        <w:t xml:space="preserve">may require several months. </w:t>
      </w:r>
      <w:r w:rsidR="00FA01D5">
        <w:rPr>
          <w:lang w:val="en-IE"/>
        </w:rPr>
        <w:t>P</w:t>
      </w:r>
      <w:r w:rsidR="00BA6AF8" w:rsidRPr="0059550D">
        <w:rPr>
          <w:lang w:val="en-IE"/>
        </w:rPr>
        <w:t xml:space="preserve">olicy decisions do not depend on the </w:t>
      </w:r>
      <w:r w:rsidR="00FA01D5">
        <w:rPr>
          <w:lang w:val="en-IE"/>
        </w:rPr>
        <w:t>technical</w:t>
      </w:r>
      <w:r w:rsidR="00BA6AF8" w:rsidRPr="0059550D">
        <w:rPr>
          <w:lang w:val="en-IE"/>
        </w:rPr>
        <w:t xml:space="preserve"> implementation files under preparation by the Publications Office. Consequently, the work on these de</w:t>
      </w:r>
      <w:r w:rsidRPr="0059550D">
        <w:rPr>
          <w:lang w:val="en-IE"/>
        </w:rPr>
        <w:t xml:space="preserve">cisions can take </w:t>
      </w:r>
      <w:r w:rsidRPr="0059550D">
        <w:rPr>
          <w:lang w:val="en-IE"/>
        </w:rPr>
        <w:lastRenderedPageBreak/>
        <w:t xml:space="preserve">place already now. This approach takes into account the </w:t>
      </w:r>
      <w:r w:rsidR="00FA01D5">
        <w:rPr>
          <w:lang w:val="en-IE"/>
        </w:rPr>
        <w:t>significant</w:t>
      </w:r>
      <w:r w:rsidR="00FA01D5" w:rsidRPr="0059550D">
        <w:rPr>
          <w:lang w:val="en-IE"/>
        </w:rPr>
        <w:t xml:space="preserve"> </w:t>
      </w:r>
      <w:r w:rsidRPr="0059550D">
        <w:rPr>
          <w:lang w:val="en-IE"/>
        </w:rPr>
        <w:t xml:space="preserve">time </w:t>
      </w:r>
      <w:r w:rsidR="00FA01D5">
        <w:rPr>
          <w:lang w:val="en-IE"/>
        </w:rPr>
        <w:t>required</w:t>
      </w:r>
      <w:r w:rsidRPr="0059550D">
        <w:rPr>
          <w:lang w:val="en-IE"/>
        </w:rPr>
        <w:t xml:space="preserve"> for IT </w:t>
      </w:r>
      <w:r w:rsidR="00EF49AC">
        <w:rPr>
          <w:lang w:val="en-IE"/>
        </w:rPr>
        <w:t xml:space="preserve">procurement and </w:t>
      </w:r>
      <w:r w:rsidRPr="0059550D">
        <w:rPr>
          <w:lang w:val="en-IE"/>
        </w:rPr>
        <w:t>development</w:t>
      </w:r>
      <w:r w:rsidR="006C3799">
        <w:rPr>
          <w:lang w:val="en-IE"/>
        </w:rPr>
        <w:t>.</w:t>
      </w:r>
    </w:p>
    <w:p w14:paraId="0EC48D87" w14:textId="279619F9" w:rsidR="00B525F0" w:rsidRPr="0059550D" w:rsidRDefault="00B10AC0" w:rsidP="00B525F0">
      <w:pPr>
        <w:pStyle w:val="Heading2"/>
        <w:rPr>
          <w:lang w:val="en-IE"/>
        </w:rPr>
      </w:pPr>
      <w:bookmarkStart w:id="4" w:name="_Toc25684060"/>
      <w:r w:rsidRPr="0059550D">
        <w:rPr>
          <w:lang w:val="en-IE"/>
        </w:rPr>
        <w:t>Structu</w:t>
      </w:r>
      <w:r w:rsidR="00F23070" w:rsidRPr="0059550D">
        <w:rPr>
          <w:lang w:val="en-IE"/>
        </w:rPr>
        <w:t>re</w:t>
      </w:r>
      <w:bookmarkEnd w:id="4"/>
    </w:p>
    <w:p w14:paraId="1FF719DF" w14:textId="35FFE440" w:rsidR="00B10AC0" w:rsidRPr="0059550D" w:rsidRDefault="0030165E" w:rsidP="00B10AC0">
      <w:pPr>
        <w:pStyle w:val="NoSpacing"/>
        <w:rPr>
          <w:lang w:val="en-IE"/>
        </w:rPr>
      </w:pPr>
      <w:r>
        <w:rPr>
          <w:lang w:val="en-IE"/>
        </w:rPr>
        <w:t>This document</w:t>
      </w:r>
      <w:r>
        <w:rPr>
          <w:lang w:val="en-US"/>
        </w:rPr>
        <w:t xml:space="preserve">’s structure reflects </w:t>
      </w:r>
      <w:r w:rsidR="00B10AC0" w:rsidRPr="0059550D">
        <w:rPr>
          <w:lang w:val="en-IE"/>
        </w:rPr>
        <w:t xml:space="preserve">the order of </w:t>
      </w:r>
      <w:r>
        <w:rPr>
          <w:lang w:val="en-IE"/>
        </w:rPr>
        <w:t xml:space="preserve">the </w:t>
      </w:r>
      <w:r w:rsidR="00B10AC0" w:rsidRPr="0059550D">
        <w:rPr>
          <w:lang w:val="en-IE"/>
        </w:rPr>
        <w:t xml:space="preserve">decisions that national decision-makers need to make. </w:t>
      </w:r>
      <w:r w:rsidR="00FA01D5">
        <w:rPr>
          <w:lang w:val="en-IE"/>
        </w:rPr>
        <w:t>T</w:t>
      </w:r>
      <w:r w:rsidR="00B10AC0" w:rsidRPr="0059550D">
        <w:rPr>
          <w:lang w:val="en-IE"/>
        </w:rPr>
        <w:t xml:space="preserve">he </w:t>
      </w:r>
      <w:r w:rsidR="007D6CA3" w:rsidRPr="0059550D">
        <w:rPr>
          <w:lang w:val="en-IE"/>
        </w:rPr>
        <w:t xml:space="preserve">chapters’ </w:t>
      </w:r>
      <w:r w:rsidR="00B10AC0" w:rsidRPr="0059550D">
        <w:rPr>
          <w:lang w:val="en-IE"/>
        </w:rPr>
        <w:t xml:space="preserve">order </w:t>
      </w:r>
      <w:r w:rsidR="00FA01D5">
        <w:rPr>
          <w:lang w:val="en-IE"/>
        </w:rPr>
        <w:t>is based on</w:t>
      </w:r>
      <w:r w:rsidR="007D6CA3" w:rsidRPr="0059550D">
        <w:rPr>
          <w:lang w:val="en-IE"/>
        </w:rPr>
        <w:t xml:space="preserve"> </w:t>
      </w:r>
      <w:r w:rsidR="00B10AC0" w:rsidRPr="0059550D">
        <w:rPr>
          <w:lang w:val="en-IE"/>
        </w:rPr>
        <w:t>what needs to be decided earlier and what later</w:t>
      </w:r>
      <w:r w:rsidR="007D6CA3" w:rsidRPr="0059550D">
        <w:rPr>
          <w:lang w:val="en-IE"/>
        </w:rPr>
        <w:t xml:space="preserve">, not </w:t>
      </w:r>
      <w:r w:rsidR="00FA01D5">
        <w:rPr>
          <w:lang w:val="en-IE"/>
        </w:rPr>
        <w:t xml:space="preserve">on </w:t>
      </w:r>
      <w:r w:rsidR="007D6CA3" w:rsidRPr="0059550D">
        <w:rPr>
          <w:lang w:val="en-IE"/>
        </w:rPr>
        <w:t>the importance of the individual</w:t>
      </w:r>
      <w:r>
        <w:rPr>
          <w:lang w:val="en-IE"/>
        </w:rPr>
        <w:t xml:space="preserve"> decisions</w:t>
      </w:r>
      <w:r w:rsidR="007D6CA3" w:rsidRPr="0059550D">
        <w:rPr>
          <w:lang w:val="en-IE"/>
        </w:rPr>
        <w:t>.</w:t>
      </w:r>
    </w:p>
    <w:p w14:paraId="412A8446" w14:textId="16ED9F79" w:rsidR="00BF0E85" w:rsidRPr="0059550D" w:rsidRDefault="00BF0E85" w:rsidP="00214E3A">
      <w:pPr>
        <w:pStyle w:val="NoSpacing"/>
        <w:rPr>
          <w:lang w:val="en-IE"/>
        </w:rPr>
      </w:pPr>
    </w:p>
    <w:p w14:paraId="3145B093" w14:textId="2CEAEAA9" w:rsidR="00E165C1" w:rsidRPr="0059550D" w:rsidRDefault="00755968" w:rsidP="00557553">
      <w:pPr>
        <w:pStyle w:val="NoSpacing"/>
        <w:rPr>
          <w:lang w:val="en-IE"/>
        </w:rPr>
      </w:pPr>
      <w:r w:rsidRPr="0059550D">
        <w:rPr>
          <w:lang w:val="en-IE"/>
        </w:rPr>
        <w:t xml:space="preserve">Chapter 1 </w:t>
      </w:r>
      <w:r w:rsidR="00CB4791" w:rsidRPr="0059550D">
        <w:rPr>
          <w:lang w:val="en-IE"/>
        </w:rPr>
        <w:t>explains how to use this handbook</w:t>
      </w:r>
      <w:r w:rsidRPr="0059550D">
        <w:rPr>
          <w:lang w:val="en-IE"/>
        </w:rPr>
        <w:t xml:space="preserve">. Chapter 2 </w:t>
      </w:r>
      <w:r w:rsidR="00AA16DB" w:rsidRPr="0059550D">
        <w:rPr>
          <w:lang w:val="en-IE"/>
        </w:rPr>
        <w:t xml:space="preserve">gives a </w:t>
      </w:r>
      <w:r w:rsidRPr="0059550D">
        <w:rPr>
          <w:lang w:val="en-IE"/>
        </w:rPr>
        <w:t>high-level</w:t>
      </w:r>
      <w:r w:rsidR="00AA16DB" w:rsidRPr="0059550D">
        <w:rPr>
          <w:lang w:val="en-IE"/>
        </w:rPr>
        <w:t xml:space="preserve"> explanation of</w:t>
      </w:r>
      <w:r w:rsidRPr="0059550D">
        <w:rPr>
          <w:lang w:val="en-IE"/>
        </w:rPr>
        <w:t xml:space="preserve"> eForms</w:t>
      </w:r>
      <w:r w:rsidR="00D85602" w:rsidRPr="0059550D">
        <w:rPr>
          <w:lang w:val="en-IE"/>
        </w:rPr>
        <w:t xml:space="preserve"> and provides links to all eForms resources</w:t>
      </w:r>
      <w:r w:rsidRPr="0059550D">
        <w:rPr>
          <w:lang w:val="en-IE"/>
        </w:rPr>
        <w:t xml:space="preserve">. Chapter 3 takes readers through </w:t>
      </w:r>
      <w:r w:rsidR="00D85602" w:rsidRPr="0059550D">
        <w:rPr>
          <w:lang w:val="en-IE"/>
        </w:rPr>
        <w:t>the policy-decisions they need to make for tailoring eForms</w:t>
      </w:r>
      <w:r w:rsidR="00961622" w:rsidRPr="0059550D">
        <w:rPr>
          <w:lang w:val="en-IE"/>
        </w:rPr>
        <w:t>, such as tailoring fields, codelists and business rules</w:t>
      </w:r>
      <w:r w:rsidR="00D85602" w:rsidRPr="0059550D">
        <w:rPr>
          <w:lang w:val="en-IE"/>
        </w:rPr>
        <w:t>.</w:t>
      </w:r>
      <w:r w:rsidR="00671E81" w:rsidRPr="0059550D">
        <w:rPr>
          <w:lang w:val="en-IE"/>
        </w:rPr>
        <w:t xml:space="preserve"> </w:t>
      </w:r>
      <w:r w:rsidR="00D85602" w:rsidRPr="0059550D">
        <w:rPr>
          <w:lang w:val="en-IE"/>
        </w:rPr>
        <w:t xml:space="preserve">Chapter 4 </w:t>
      </w:r>
      <w:r w:rsidR="00961622" w:rsidRPr="0059550D">
        <w:rPr>
          <w:lang w:val="en-IE"/>
        </w:rPr>
        <w:t xml:space="preserve">provides background information on high-level IT decisions that are typically made by policy-makers, such as </w:t>
      </w:r>
      <w:r w:rsidR="00012E22">
        <w:rPr>
          <w:lang w:val="en-IE"/>
        </w:rPr>
        <w:t xml:space="preserve">deciding whether to have a national publication platform, </w:t>
      </w:r>
      <w:r w:rsidR="00961622" w:rsidRPr="0059550D">
        <w:rPr>
          <w:lang w:val="en-IE"/>
        </w:rPr>
        <w:t xml:space="preserve">establishing links with other systems and </w:t>
      </w:r>
      <w:r w:rsidR="00CD05CB" w:rsidRPr="0059550D">
        <w:rPr>
          <w:lang w:val="en-IE"/>
        </w:rPr>
        <w:t xml:space="preserve">deciding whether to build or buy an eForms system. </w:t>
      </w:r>
    </w:p>
    <w:p w14:paraId="2AC09EA7" w14:textId="77777777" w:rsidR="00E165C1" w:rsidRPr="0059550D" w:rsidRDefault="00E165C1" w:rsidP="00484EF0">
      <w:pPr>
        <w:rPr>
          <w:lang w:val="en-IE"/>
        </w:rPr>
      </w:pPr>
    </w:p>
    <w:p w14:paraId="3B830725" w14:textId="4B391B4D" w:rsidR="00F83E70" w:rsidRDefault="00F83E70" w:rsidP="00545A16">
      <w:pPr>
        <w:pStyle w:val="NoSpacing"/>
        <w:rPr>
          <w:lang w:val="en-IE"/>
        </w:rPr>
      </w:pPr>
      <w:r w:rsidRPr="0059550D">
        <w:rPr>
          <w:lang w:val="en-IE"/>
        </w:rPr>
        <w:t xml:space="preserve">Chapters 3 and 4 </w:t>
      </w:r>
      <w:r w:rsidR="00B46CC2">
        <w:rPr>
          <w:lang w:val="en-IE"/>
        </w:rPr>
        <w:t xml:space="preserve">give high-level introductions to topics, </w:t>
      </w:r>
      <w:r w:rsidRPr="0059550D">
        <w:rPr>
          <w:lang w:val="en-IE"/>
        </w:rPr>
        <w:t xml:space="preserve">while </w:t>
      </w:r>
      <w:r w:rsidR="002847D1">
        <w:rPr>
          <w:lang w:val="en-IE"/>
        </w:rPr>
        <w:t xml:space="preserve">specific </w:t>
      </w:r>
      <w:r w:rsidR="00331F24">
        <w:rPr>
          <w:lang w:val="en-IE"/>
        </w:rPr>
        <w:t xml:space="preserve">guidance </w:t>
      </w:r>
      <w:r w:rsidR="002847D1">
        <w:rPr>
          <w:lang w:val="en-IE"/>
        </w:rPr>
        <w:t xml:space="preserve">for </w:t>
      </w:r>
      <w:r w:rsidR="009A4227">
        <w:rPr>
          <w:lang w:val="en-IE"/>
        </w:rPr>
        <w:t xml:space="preserve">the main </w:t>
      </w:r>
      <w:r w:rsidR="00552D40">
        <w:rPr>
          <w:lang w:val="en-IE"/>
        </w:rPr>
        <w:t>decisions</w:t>
      </w:r>
      <w:r w:rsidRPr="0059550D">
        <w:rPr>
          <w:lang w:val="en-IE"/>
        </w:rPr>
        <w:t xml:space="preserve"> </w:t>
      </w:r>
      <w:r w:rsidR="002847D1">
        <w:rPr>
          <w:lang w:val="en-IE"/>
        </w:rPr>
        <w:t xml:space="preserve">to be made </w:t>
      </w:r>
      <w:r w:rsidRPr="0059550D">
        <w:rPr>
          <w:lang w:val="en-IE"/>
        </w:rPr>
        <w:t>are in</w:t>
      </w:r>
      <w:r w:rsidR="002847D1">
        <w:rPr>
          <w:lang w:val="en-IE"/>
        </w:rPr>
        <w:t>cluded in</w:t>
      </w:r>
      <w:r w:rsidRPr="0059550D">
        <w:rPr>
          <w:lang w:val="en-IE"/>
        </w:rPr>
        <w:t xml:space="preserve"> </w:t>
      </w:r>
      <w:r w:rsidR="009F4AE8">
        <w:rPr>
          <w:lang w:val="en-IE"/>
        </w:rPr>
        <w:fldChar w:fldCharType="begin"/>
      </w:r>
      <w:r w:rsidR="009F4AE8">
        <w:rPr>
          <w:lang w:val="en-IE"/>
        </w:rPr>
        <w:instrText xml:space="preserve"> REF _Ref20134598 \h </w:instrText>
      </w:r>
      <w:r w:rsidR="009F4AE8">
        <w:rPr>
          <w:lang w:val="en-IE"/>
        </w:rPr>
      </w:r>
      <w:r w:rsidR="009F4AE8">
        <w:rPr>
          <w:lang w:val="en-IE"/>
        </w:rPr>
        <w:fldChar w:fldCharType="separate"/>
      </w:r>
      <w:r w:rsidR="00031242">
        <w:rPr>
          <w:lang w:val="en-IE"/>
        </w:rPr>
        <w:t>Checklist 1</w:t>
      </w:r>
      <w:r w:rsidR="00031242" w:rsidRPr="0059550D">
        <w:rPr>
          <w:lang w:val="en-IE"/>
        </w:rPr>
        <w:t xml:space="preserve"> – Tailoring fields</w:t>
      </w:r>
      <w:r w:rsidR="009F4AE8">
        <w:rPr>
          <w:lang w:val="en-IE"/>
        </w:rPr>
        <w:fldChar w:fldCharType="end"/>
      </w:r>
      <w:r w:rsidR="00B46CC2">
        <w:rPr>
          <w:lang w:val="en-IE"/>
        </w:rPr>
        <w:t xml:space="preserve">, </w:t>
      </w:r>
      <w:r w:rsidR="006C3799">
        <w:rPr>
          <w:lang w:val="en-IE"/>
        </w:rPr>
        <w:fldChar w:fldCharType="begin"/>
      </w:r>
      <w:r w:rsidR="006C3799">
        <w:rPr>
          <w:lang w:val="en-IE"/>
        </w:rPr>
        <w:instrText xml:space="preserve"> REF _Ref19621029 \h </w:instrText>
      </w:r>
      <w:r w:rsidR="006C3799">
        <w:rPr>
          <w:lang w:val="en-IE"/>
        </w:rPr>
      </w:r>
      <w:r w:rsidR="006C3799">
        <w:rPr>
          <w:lang w:val="en-IE"/>
        </w:rPr>
        <w:fldChar w:fldCharType="separate"/>
      </w:r>
      <w:r w:rsidR="00031242">
        <w:rPr>
          <w:lang w:val="en-IE"/>
        </w:rPr>
        <w:t>Checklist 2</w:t>
      </w:r>
      <w:r w:rsidR="00031242" w:rsidRPr="0059550D">
        <w:rPr>
          <w:lang w:val="en-IE"/>
        </w:rPr>
        <w:t xml:space="preserve"> – Tailoring code</w:t>
      </w:r>
      <w:r w:rsidR="00031242">
        <w:rPr>
          <w:lang w:val="en-IE"/>
        </w:rPr>
        <w:t xml:space="preserve"> </w:t>
      </w:r>
      <w:r w:rsidR="00031242" w:rsidRPr="0059550D">
        <w:rPr>
          <w:lang w:val="en-IE"/>
        </w:rPr>
        <w:t>lists</w:t>
      </w:r>
      <w:r w:rsidR="006C3799">
        <w:rPr>
          <w:lang w:val="en-IE"/>
        </w:rPr>
        <w:fldChar w:fldCharType="end"/>
      </w:r>
      <w:r w:rsidR="00B46CC2">
        <w:rPr>
          <w:lang w:val="en-IE"/>
        </w:rPr>
        <w:t xml:space="preserve"> and </w:t>
      </w:r>
      <w:r w:rsidR="009F4AE8">
        <w:rPr>
          <w:lang w:val="en-IE"/>
        </w:rPr>
        <w:fldChar w:fldCharType="begin"/>
      </w:r>
      <w:r w:rsidR="009F4AE8">
        <w:rPr>
          <w:lang w:val="en-IE"/>
        </w:rPr>
        <w:instrText xml:space="preserve"> REF _Ref20511445 \h </w:instrText>
      </w:r>
      <w:r w:rsidR="009F4AE8">
        <w:rPr>
          <w:lang w:val="en-IE"/>
        </w:rPr>
      </w:r>
      <w:r w:rsidR="009F4AE8">
        <w:rPr>
          <w:lang w:val="en-IE"/>
        </w:rPr>
        <w:fldChar w:fldCharType="separate"/>
      </w:r>
      <w:r w:rsidR="00031242" w:rsidRPr="0059550D">
        <w:rPr>
          <w:lang w:val="en-IE"/>
        </w:rPr>
        <w:t>Annex I – Designing the user interface</w:t>
      </w:r>
      <w:r w:rsidR="009F4AE8">
        <w:rPr>
          <w:lang w:val="en-IE"/>
        </w:rPr>
        <w:fldChar w:fldCharType="end"/>
      </w:r>
      <w:r w:rsidR="00B46CC2">
        <w:rPr>
          <w:lang w:val="en-IE"/>
        </w:rPr>
        <w:t xml:space="preserve">. </w:t>
      </w:r>
      <w:r w:rsidR="00F06E28" w:rsidRPr="0059550D">
        <w:rPr>
          <w:lang w:val="en-IE"/>
        </w:rPr>
        <w:t xml:space="preserve">These checklists </w:t>
      </w:r>
      <w:r w:rsidR="00326EBA">
        <w:rPr>
          <w:lang w:val="en-IE"/>
        </w:rPr>
        <w:t xml:space="preserve">should be taken into account </w:t>
      </w:r>
      <w:r w:rsidR="00F06E28" w:rsidRPr="0059550D">
        <w:rPr>
          <w:lang w:val="en-IE"/>
        </w:rPr>
        <w:t>when working on the policy implementation of eForms.</w:t>
      </w:r>
      <w:r w:rsidRPr="0059550D">
        <w:rPr>
          <w:lang w:val="en-IE"/>
        </w:rPr>
        <w:t xml:space="preserve"> </w:t>
      </w:r>
      <w:r w:rsidR="00F1795A">
        <w:rPr>
          <w:lang w:val="en-IE"/>
        </w:rPr>
        <w:t xml:space="preserve">We </w:t>
      </w:r>
      <w:r w:rsidR="005F4CA1" w:rsidRPr="0059550D">
        <w:rPr>
          <w:lang w:val="en-IE"/>
        </w:rPr>
        <w:t xml:space="preserve">recommend </w:t>
      </w:r>
      <w:r w:rsidR="00F1795A">
        <w:rPr>
          <w:lang w:val="en-IE"/>
        </w:rPr>
        <w:t xml:space="preserve">readers </w:t>
      </w:r>
      <w:r w:rsidR="005F4CA1" w:rsidRPr="0059550D">
        <w:rPr>
          <w:lang w:val="en-IE"/>
        </w:rPr>
        <w:t xml:space="preserve">to first read through the whole main text of the document and only then read through (and decide upon) the </w:t>
      </w:r>
      <w:r w:rsidR="00326EBA">
        <w:rPr>
          <w:lang w:val="en-IE"/>
        </w:rPr>
        <w:t>Checklists</w:t>
      </w:r>
      <w:r w:rsidR="009D131B">
        <w:rPr>
          <w:lang w:val="en-IE"/>
        </w:rPr>
        <w:t xml:space="preserve"> and Annex I</w:t>
      </w:r>
      <w:r w:rsidR="005F4CA1" w:rsidRPr="0059550D">
        <w:rPr>
          <w:lang w:val="en-IE"/>
        </w:rPr>
        <w:t>.</w:t>
      </w:r>
    </w:p>
    <w:p w14:paraId="12D0338A" w14:textId="3C5D502F" w:rsidR="00331F24" w:rsidRPr="0059550D" w:rsidRDefault="00331F24" w:rsidP="00545A16">
      <w:pPr>
        <w:pStyle w:val="NoSpacing"/>
        <w:rPr>
          <w:lang w:val="en-IE"/>
        </w:rPr>
      </w:pPr>
      <w:r w:rsidRPr="00052391">
        <w:rPr>
          <w:lang w:val="en-IE"/>
        </w:rPr>
        <w:t>Annex II</w:t>
      </w:r>
      <w:r w:rsidR="00052391">
        <w:rPr>
          <w:lang w:val="en-IE"/>
        </w:rPr>
        <w:t xml:space="preserve"> describes GitHu</w:t>
      </w:r>
      <w:r w:rsidR="009D131B">
        <w:rPr>
          <w:lang w:val="en-IE"/>
        </w:rPr>
        <w:t>b, an online for</w:t>
      </w:r>
      <w:r w:rsidR="00052391">
        <w:rPr>
          <w:lang w:val="en-IE"/>
        </w:rPr>
        <w:t>um used during the consultations for the draft eForms.</w:t>
      </w:r>
    </w:p>
    <w:p w14:paraId="67ADC880" w14:textId="7B515823" w:rsidR="00D56B95" w:rsidRPr="0059550D" w:rsidRDefault="00D56B95" w:rsidP="00484EF0">
      <w:pPr>
        <w:rPr>
          <w:lang w:val="en-IE"/>
        </w:rPr>
      </w:pPr>
    </w:p>
    <w:p w14:paraId="1553EB08" w14:textId="68D944DE" w:rsidR="00B62C2A" w:rsidRPr="006E5BFC" w:rsidRDefault="00584E1A" w:rsidP="005B1441">
      <w:pPr>
        <w:pStyle w:val="CommentText"/>
        <w:jc w:val="both"/>
        <w:rPr>
          <w:sz w:val="22"/>
          <w:szCs w:val="22"/>
          <w:lang w:val="en-IE"/>
        </w:rPr>
      </w:pPr>
      <w:r w:rsidRPr="006E5BFC">
        <w:rPr>
          <w:sz w:val="22"/>
          <w:szCs w:val="22"/>
          <w:lang w:val="en-IE"/>
        </w:rPr>
        <w:t>This</w:t>
      </w:r>
      <w:r w:rsidR="00B62C2A" w:rsidRPr="006E5BFC">
        <w:rPr>
          <w:sz w:val="22"/>
          <w:szCs w:val="22"/>
          <w:lang w:val="en-IE"/>
        </w:rPr>
        <w:t xml:space="preserve"> </w:t>
      </w:r>
      <w:r w:rsidR="008F72FE" w:rsidRPr="006E5BFC">
        <w:rPr>
          <w:sz w:val="22"/>
          <w:szCs w:val="22"/>
          <w:lang w:val="en-IE"/>
        </w:rPr>
        <w:t>is</w:t>
      </w:r>
      <w:r w:rsidR="00813BCD" w:rsidRPr="006E5BFC">
        <w:rPr>
          <w:sz w:val="22"/>
          <w:szCs w:val="22"/>
          <w:lang w:val="en-IE"/>
        </w:rPr>
        <w:t xml:space="preserve"> a</w:t>
      </w:r>
      <w:r w:rsidR="008F72FE" w:rsidRPr="006E5BFC">
        <w:rPr>
          <w:sz w:val="22"/>
          <w:szCs w:val="22"/>
          <w:lang w:val="en-IE"/>
        </w:rPr>
        <w:t xml:space="preserve"> </w:t>
      </w:r>
      <w:r w:rsidR="00B62C2A" w:rsidRPr="006E5BFC">
        <w:rPr>
          <w:sz w:val="22"/>
          <w:szCs w:val="22"/>
          <w:lang w:val="en-IE"/>
        </w:rPr>
        <w:t>living document</w:t>
      </w:r>
      <w:r w:rsidR="008F72FE" w:rsidRPr="006E5BFC">
        <w:rPr>
          <w:sz w:val="22"/>
          <w:szCs w:val="22"/>
          <w:lang w:val="en-IE"/>
        </w:rPr>
        <w:t>. I</w:t>
      </w:r>
      <w:r w:rsidR="00FA01D5" w:rsidRPr="006E5BFC">
        <w:rPr>
          <w:sz w:val="22"/>
          <w:szCs w:val="22"/>
          <w:lang w:val="en-IE"/>
        </w:rPr>
        <w:t xml:space="preserve">t </w:t>
      </w:r>
      <w:r w:rsidR="008F72FE" w:rsidRPr="006E5BFC">
        <w:rPr>
          <w:sz w:val="22"/>
          <w:szCs w:val="22"/>
          <w:lang w:val="en-IE"/>
        </w:rPr>
        <w:t xml:space="preserve">will be updated </w:t>
      </w:r>
      <w:r w:rsidR="00F95346" w:rsidRPr="006E5BFC">
        <w:rPr>
          <w:sz w:val="22"/>
          <w:szCs w:val="22"/>
          <w:lang w:val="en-IE"/>
        </w:rPr>
        <w:t xml:space="preserve">on a regular basis </w:t>
      </w:r>
      <w:r w:rsidR="00927F9F" w:rsidRPr="006E5BFC">
        <w:rPr>
          <w:sz w:val="22"/>
          <w:szCs w:val="22"/>
          <w:lang w:val="en-IE"/>
        </w:rPr>
        <w:t xml:space="preserve">on the basis of </w:t>
      </w:r>
      <w:r w:rsidR="008F72FE" w:rsidRPr="006E5BFC">
        <w:rPr>
          <w:sz w:val="22"/>
          <w:szCs w:val="22"/>
          <w:lang w:val="en-IE"/>
        </w:rPr>
        <w:t xml:space="preserve"> implementers’ experiences and lessons learned. </w:t>
      </w:r>
    </w:p>
    <w:p w14:paraId="096DA32E" w14:textId="1BE1D410" w:rsidR="00AB1B2E" w:rsidRPr="006E5BFC" w:rsidRDefault="00AB1B2E" w:rsidP="00AB1B2E">
      <w:pPr>
        <w:pStyle w:val="Heading2"/>
        <w:rPr>
          <w:lang w:val="en-IE"/>
        </w:rPr>
      </w:pPr>
      <w:bookmarkStart w:id="5" w:name="_Toc25684061"/>
      <w:r w:rsidRPr="006E5BFC">
        <w:rPr>
          <w:lang w:val="en-IE"/>
        </w:rPr>
        <w:t>Terminology</w:t>
      </w:r>
      <w:bookmarkEnd w:id="5"/>
    </w:p>
    <w:p w14:paraId="357CA25D" w14:textId="08672342" w:rsidR="00AB1B2E" w:rsidRPr="0059550D" w:rsidRDefault="00AB1B2E" w:rsidP="00AB1B2E">
      <w:pPr>
        <w:rPr>
          <w:lang w:val="en-IE"/>
        </w:rPr>
      </w:pPr>
    </w:p>
    <w:p w14:paraId="0604B845" w14:textId="7ADC2667" w:rsidR="0097209B" w:rsidRPr="00BD7A17" w:rsidRDefault="0097209B" w:rsidP="009445F8">
      <w:pPr>
        <w:pStyle w:val="ListParagraph"/>
        <w:numPr>
          <w:ilvl w:val="0"/>
          <w:numId w:val="48"/>
        </w:numPr>
        <w:jc w:val="both"/>
        <w:rPr>
          <w:lang w:val="en-US"/>
        </w:rPr>
      </w:pPr>
      <w:r w:rsidRPr="0097209B">
        <w:rPr>
          <w:lang w:val="en-US"/>
        </w:rPr>
        <w:t>“</w:t>
      </w:r>
      <w:r w:rsidRPr="00BD7A17">
        <w:rPr>
          <w:lang w:val="en-US"/>
        </w:rPr>
        <w:t>Directives” refers to the procurement Directives 2014/24/EU</w:t>
      </w:r>
      <w:r w:rsidR="00044B28" w:rsidRPr="00BD7A17">
        <w:rPr>
          <w:lang w:val="en-US"/>
        </w:rPr>
        <w:t xml:space="preserve"> (“classical”)</w:t>
      </w:r>
      <w:r w:rsidRPr="00BD7A17">
        <w:rPr>
          <w:lang w:val="en-US"/>
        </w:rPr>
        <w:t xml:space="preserve">, </w:t>
      </w:r>
      <w:r w:rsidR="00044B28" w:rsidRPr="00BD7A17">
        <w:rPr>
          <w:lang w:val="en-US"/>
        </w:rPr>
        <w:t>2014/25/EU (“</w:t>
      </w:r>
      <w:r w:rsidR="00326EBA" w:rsidRPr="00BD7A17">
        <w:rPr>
          <w:lang w:val="en-US"/>
        </w:rPr>
        <w:t>utilities</w:t>
      </w:r>
      <w:r w:rsidR="00044B28" w:rsidRPr="00BD7A17">
        <w:rPr>
          <w:lang w:val="en-US"/>
        </w:rPr>
        <w:t xml:space="preserve">”), </w:t>
      </w:r>
      <w:r w:rsidRPr="00BD7A17">
        <w:rPr>
          <w:lang w:val="en-US"/>
        </w:rPr>
        <w:t>2014/23/EU</w:t>
      </w:r>
      <w:r w:rsidR="00044B28" w:rsidRPr="00BD7A17">
        <w:rPr>
          <w:lang w:val="en-US"/>
        </w:rPr>
        <w:t xml:space="preserve"> (“concessions”)</w:t>
      </w:r>
      <w:r w:rsidRPr="00BD7A17">
        <w:rPr>
          <w:lang w:val="en-US"/>
        </w:rPr>
        <w:t>, and 2009/81/EC</w:t>
      </w:r>
      <w:r w:rsidR="009445F8" w:rsidRPr="00BD7A17">
        <w:rPr>
          <w:lang w:val="en-US"/>
        </w:rPr>
        <w:t xml:space="preserve"> (“defence”)</w:t>
      </w:r>
      <w:r w:rsidRPr="00BD7A17">
        <w:rPr>
          <w:lang w:val="en-US"/>
        </w:rPr>
        <w:t xml:space="preserve"> and, depending on context, may also include Directive 89/665/EEC</w:t>
      </w:r>
      <w:r w:rsidR="00C75FCF" w:rsidRPr="00BD7A17">
        <w:rPr>
          <w:lang w:val="en-US"/>
        </w:rPr>
        <w:t xml:space="preserve"> (on the coordination of laws, regulations and administrative provisions relating to the application of Community rules on the procurement procedures of entities operating in utilities sectors);</w:t>
      </w:r>
      <w:r w:rsidR="00326EBA" w:rsidRPr="00BD7A17">
        <w:rPr>
          <w:lang w:val="en-US"/>
        </w:rPr>
        <w:t xml:space="preserve"> </w:t>
      </w:r>
      <w:r w:rsidRPr="00BD7A17">
        <w:rPr>
          <w:lang w:val="en-US"/>
        </w:rPr>
        <w:t>and Directive 92/13/EEC</w:t>
      </w:r>
      <w:r w:rsidR="00C75FCF" w:rsidRPr="00BD7A17">
        <w:rPr>
          <w:lang w:val="en-US"/>
        </w:rPr>
        <w:t xml:space="preserve"> (on the coordination of the laws, regulations and administrative provisions relating</w:t>
      </w:r>
      <w:r w:rsidR="00326EBA" w:rsidRPr="00BD7A17">
        <w:rPr>
          <w:lang w:val="en-US"/>
        </w:rPr>
        <w:t xml:space="preserve"> to the application of review procedures to the award of public supply and public works contracts</w:t>
      </w:r>
      <w:r w:rsidR="00C75FCF" w:rsidRPr="00BD7A17">
        <w:rPr>
          <w:lang w:val="en-US"/>
        </w:rPr>
        <w:t>)</w:t>
      </w:r>
      <w:r w:rsidR="00326EBA" w:rsidRPr="00BD7A17">
        <w:rPr>
          <w:lang w:val="en-US"/>
        </w:rPr>
        <w:t>.</w:t>
      </w:r>
    </w:p>
    <w:p w14:paraId="10155D41" w14:textId="49C3D0F4" w:rsidR="0097209B" w:rsidRDefault="0097209B" w:rsidP="009445F8">
      <w:pPr>
        <w:pStyle w:val="ListParagraph"/>
        <w:numPr>
          <w:ilvl w:val="0"/>
          <w:numId w:val="48"/>
        </w:numPr>
        <w:jc w:val="both"/>
        <w:rPr>
          <w:lang w:val="en-US"/>
        </w:rPr>
      </w:pPr>
      <w:r w:rsidRPr="00BD7A17">
        <w:rPr>
          <w:lang w:val="en-US"/>
        </w:rPr>
        <w:t xml:space="preserve">“eForms </w:t>
      </w:r>
      <w:r w:rsidR="002847D1" w:rsidRPr="00BD7A17">
        <w:rPr>
          <w:lang w:val="en-US"/>
        </w:rPr>
        <w:t xml:space="preserve">Implementing </w:t>
      </w:r>
      <w:r w:rsidRPr="00BD7A17">
        <w:rPr>
          <w:lang w:val="en-US"/>
        </w:rPr>
        <w:t>Regulation”</w:t>
      </w:r>
      <w:r w:rsidR="00044B28" w:rsidRPr="00BD7A17">
        <w:rPr>
          <w:lang w:val="en-US"/>
        </w:rPr>
        <w:t xml:space="preserve"> or “</w:t>
      </w:r>
      <w:r w:rsidR="002847D1" w:rsidRPr="00BD7A17">
        <w:rPr>
          <w:lang w:val="en-US"/>
        </w:rPr>
        <w:t xml:space="preserve">eForms </w:t>
      </w:r>
      <w:r w:rsidR="00044B28" w:rsidRPr="00BD7A17">
        <w:rPr>
          <w:lang w:val="en-US"/>
        </w:rPr>
        <w:t>Regulation”</w:t>
      </w:r>
      <w:r>
        <w:rPr>
          <w:lang w:val="en-US"/>
        </w:rPr>
        <w:t xml:space="preserve"> refers to </w:t>
      </w:r>
      <w:r w:rsidR="00586C25">
        <w:rPr>
          <w:lang w:val="en-US"/>
        </w:rPr>
        <w:t xml:space="preserve">the Commission Implementing </w:t>
      </w:r>
      <w:r>
        <w:rPr>
          <w:lang w:val="en-US"/>
        </w:rPr>
        <w:t xml:space="preserve">Regulation </w:t>
      </w:r>
      <w:r w:rsidR="00B62C1F" w:rsidRPr="00B62C1F">
        <w:rPr>
          <w:lang w:val="en-US"/>
        </w:rPr>
        <w:t xml:space="preserve">(EU) 2019/1780 of 23 September 2019 </w:t>
      </w:r>
      <w:r w:rsidR="00B62C1F" w:rsidRPr="00B62C1F">
        <w:rPr>
          <w:szCs w:val="24"/>
          <w:lang w:val="en-IE"/>
        </w:rPr>
        <w:t>establishing standard forms for the publication of notices in the field of public procurement and repealing Implementing Regulation (EU) 2015/1986 (eForms)</w:t>
      </w:r>
      <w:r w:rsidR="00C5031C">
        <w:rPr>
          <w:szCs w:val="24"/>
          <w:lang w:val="en-IE"/>
        </w:rPr>
        <w:t xml:space="preserve">. </w:t>
      </w:r>
    </w:p>
    <w:p w14:paraId="43299C74" w14:textId="4C5AB1D6" w:rsidR="00060A97" w:rsidRDefault="0097209B" w:rsidP="009445F8">
      <w:pPr>
        <w:pStyle w:val="ListParagraph"/>
        <w:numPr>
          <w:ilvl w:val="0"/>
          <w:numId w:val="14"/>
        </w:numPr>
        <w:jc w:val="both"/>
        <w:rPr>
          <w:lang w:val="en-IE"/>
        </w:rPr>
      </w:pPr>
      <w:r>
        <w:rPr>
          <w:lang w:val="en-US"/>
        </w:rPr>
        <w:t>“eForms” refers to</w:t>
      </w:r>
      <w:r w:rsidR="00060A97">
        <w:rPr>
          <w:lang w:val="en-US"/>
        </w:rPr>
        <w:t xml:space="preserve"> everything necessary for implementing eForms, i.e. the</w:t>
      </w:r>
      <w:r w:rsidR="001E2C44">
        <w:rPr>
          <w:lang w:val="en-US"/>
        </w:rPr>
        <w:t xml:space="preserve"> eForms</w:t>
      </w:r>
      <w:r w:rsidR="00060A97">
        <w:rPr>
          <w:lang w:val="en-US"/>
        </w:rPr>
        <w:t xml:space="preserve"> Regulation</w:t>
      </w:r>
      <w:r w:rsidR="001E2C44">
        <w:rPr>
          <w:lang w:val="en-US"/>
        </w:rPr>
        <w:t xml:space="preserve">, </w:t>
      </w:r>
      <w:r w:rsidR="00060A97">
        <w:rPr>
          <w:lang w:val="en-US"/>
        </w:rPr>
        <w:t xml:space="preserve">codelists, </w:t>
      </w:r>
      <w:r w:rsidR="001E2C44">
        <w:rPr>
          <w:lang w:val="en-US"/>
        </w:rPr>
        <w:t xml:space="preserve">and IT files specifying </w:t>
      </w:r>
      <w:r w:rsidR="00060A97" w:rsidRPr="0059550D">
        <w:rPr>
          <w:lang w:val="en-IE"/>
        </w:rPr>
        <w:t xml:space="preserve">the </w:t>
      </w:r>
      <w:r w:rsidR="00060A97">
        <w:rPr>
          <w:lang w:val="en-IE"/>
        </w:rPr>
        <w:t>i</w:t>
      </w:r>
      <w:r w:rsidR="00060A97" w:rsidRPr="0059550D">
        <w:rPr>
          <w:lang w:val="en-IE"/>
        </w:rPr>
        <w:t xml:space="preserve">mplementing </w:t>
      </w:r>
      <w:r w:rsidR="00060A97">
        <w:rPr>
          <w:lang w:val="en-IE"/>
        </w:rPr>
        <w:t>r</w:t>
      </w:r>
      <w:r w:rsidR="00060A97" w:rsidRPr="0059550D">
        <w:rPr>
          <w:lang w:val="en-IE"/>
        </w:rPr>
        <w:t>egulation, business rules, field labels</w:t>
      </w:r>
      <w:r w:rsidR="00E5080A">
        <w:rPr>
          <w:lang w:val="en-IE"/>
        </w:rPr>
        <w:t xml:space="preserve"> and the documentation</w:t>
      </w:r>
      <w:r w:rsidR="00060A97" w:rsidRPr="0059550D">
        <w:rPr>
          <w:lang w:val="en-IE"/>
        </w:rPr>
        <w:t>.</w:t>
      </w:r>
    </w:p>
    <w:p w14:paraId="70167442" w14:textId="6D83842F" w:rsidR="00D8133F" w:rsidRPr="0059550D" w:rsidRDefault="00D8133F" w:rsidP="009445F8">
      <w:pPr>
        <w:pStyle w:val="ListParagraph"/>
        <w:numPr>
          <w:ilvl w:val="0"/>
          <w:numId w:val="14"/>
        </w:numPr>
        <w:jc w:val="both"/>
        <w:rPr>
          <w:lang w:val="en-IE"/>
        </w:rPr>
      </w:pPr>
      <w:r>
        <w:rPr>
          <w:lang w:val="en-IE"/>
        </w:rPr>
        <w:t xml:space="preserve">“TED” refers to </w:t>
      </w:r>
      <w:hyperlink r:id="rId13" w:history="1">
        <w:r w:rsidRPr="0059550D">
          <w:rPr>
            <w:rStyle w:val="Hyperlink"/>
            <w:lang w:val="en-IE"/>
          </w:rPr>
          <w:t>Tender</w:t>
        </w:r>
        <w:r>
          <w:rPr>
            <w:rStyle w:val="Hyperlink"/>
            <w:lang w:val="en-IE"/>
          </w:rPr>
          <w:t>s</w:t>
        </w:r>
        <w:r w:rsidRPr="0059550D">
          <w:rPr>
            <w:rStyle w:val="Hyperlink"/>
            <w:lang w:val="en-IE"/>
          </w:rPr>
          <w:t xml:space="preserve"> Electronic Daily</w:t>
        </w:r>
      </w:hyperlink>
      <w:r w:rsidR="00FE1CD0" w:rsidRPr="0059550D">
        <w:rPr>
          <w:rStyle w:val="FootnoteReference"/>
          <w:szCs w:val="24"/>
          <w:lang w:val="en-IE"/>
        </w:rPr>
        <w:footnoteReference w:id="5"/>
      </w:r>
      <w:r w:rsidR="00417D1D">
        <w:rPr>
          <w:rStyle w:val="Hyperlink"/>
          <w:lang w:val="en-IE"/>
        </w:rPr>
        <w:t>.</w:t>
      </w:r>
    </w:p>
    <w:p w14:paraId="0CF0BC2E" w14:textId="1C88FA2F" w:rsidR="00927F9F" w:rsidRDefault="005379E6" w:rsidP="009445F8">
      <w:pPr>
        <w:pStyle w:val="ListParagraph"/>
        <w:numPr>
          <w:ilvl w:val="0"/>
          <w:numId w:val="48"/>
        </w:numPr>
        <w:jc w:val="both"/>
        <w:rPr>
          <w:lang w:val="en-US"/>
        </w:rPr>
      </w:pPr>
      <w:r>
        <w:rPr>
          <w:lang w:val="en-US"/>
        </w:rPr>
        <w:t xml:space="preserve">“eSender” refers to </w:t>
      </w:r>
      <w:hyperlink r:id="rId14" w:history="1">
        <w:r w:rsidRPr="0059550D">
          <w:rPr>
            <w:rStyle w:val="Hyperlink"/>
            <w:lang w:val="en-IE"/>
          </w:rPr>
          <w:t>TED eSenders</w:t>
        </w:r>
      </w:hyperlink>
      <w:r>
        <w:rPr>
          <w:rStyle w:val="Hyperlink"/>
          <w:lang w:val="en-IE"/>
        </w:rPr>
        <w:t xml:space="preserve"> </w:t>
      </w:r>
      <w:r w:rsidR="00586C25">
        <w:rPr>
          <w:rStyle w:val="Hyperlink"/>
          <w:lang w:val="en-IE"/>
        </w:rPr>
        <w:t xml:space="preserve">sending notices in XML format to TED through the Publications Office </w:t>
      </w:r>
      <w:hyperlink r:id="rId15" w:history="1">
        <w:r w:rsidR="00586C25" w:rsidRPr="00586C25">
          <w:rPr>
            <w:rStyle w:val="Hyperlink"/>
            <w:lang w:val="en-IE"/>
          </w:rPr>
          <w:t>eSentool</w:t>
        </w:r>
      </w:hyperlink>
      <w:r w:rsidR="00586C25">
        <w:rPr>
          <w:rStyle w:val="Hyperlink"/>
          <w:lang w:val="en-IE"/>
        </w:rPr>
        <w:t xml:space="preserve"> application. </w:t>
      </w:r>
    </w:p>
    <w:p w14:paraId="3FEB19B5" w14:textId="392417AA" w:rsidR="0097209B" w:rsidRPr="00F63B6D" w:rsidRDefault="00B70B29" w:rsidP="009445F8">
      <w:pPr>
        <w:pStyle w:val="ListParagraph"/>
        <w:numPr>
          <w:ilvl w:val="0"/>
          <w:numId w:val="48"/>
        </w:numPr>
        <w:jc w:val="both"/>
        <w:rPr>
          <w:lang w:val="en-US"/>
        </w:rPr>
      </w:pPr>
      <w:hyperlink r:id="rId16" w:history="1">
        <w:r w:rsidR="005379E6" w:rsidRPr="0059550D">
          <w:rPr>
            <w:rStyle w:val="Hyperlink"/>
            <w:lang w:val="en-IE"/>
          </w:rPr>
          <w:t>eNotices</w:t>
        </w:r>
      </w:hyperlink>
      <w:r w:rsidR="00586C25">
        <w:rPr>
          <w:lang w:val="en-IE"/>
        </w:rPr>
        <w:t xml:space="preserve"> is </w:t>
      </w:r>
      <w:r w:rsidR="005379E6" w:rsidRPr="0059550D">
        <w:rPr>
          <w:lang w:val="en-IE"/>
        </w:rPr>
        <w:t>an on-line tool run by the Publications Office</w:t>
      </w:r>
      <w:r w:rsidR="00586C25">
        <w:rPr>
          <w:lang w:val="en-IE"/>
        </w:rPr>
        <w:t xml:space="preserve"> </w:t>
      </w:r>
      <w:r w:rsidR="005379E6" w:rsidRPr="0059550D">
        <w:rPr>
          <w:lang w:val="en-IE"/>
        </w:rPr>
        <w:t>of the EU</w:t>
      </w:r>
      <w:r w:rsidR="005379E6">
        <w:rPr>
          <w:lang w:val="en-IE"/>
        </w:rPr>
        <w:t xml:space="preserve"> </w:t>
      </w:r>
      <w:r w:rsidR="00586C25">
        <w:rPr>
          <w:lang w:val="en-IE"/>
        </w:rPr>
        <w:t xml:space="preserve">allowing users to encode the Notices’ data and information. </w:t>
      </w:r>
    </w:p>
    <w:p w14:paraId="4A77C10C" w14:textId="6C9C1ABC" w:rsidR="00C62A43" w:rsidRPr="00C62A43" w:rsidRDefault="00C62A43" w:rsidP="009445F8">
      <w:pPr>
        <w:pStyle w:val="ListParagraph"/>
        <w:numPr>
          <w:ilvl w:val="0"/>
          <w:numId w:val="48"/>
        </w:numPr>
        <w:jc w:val="both"/>
        <w:rPr>
          <w:lang w:val="en-US"/>
        </w:rPr>
      </w:pPr>
      <w:r>
        <w:rPr>
          <w:lang w:val="en-US"/>
        </w:rPr>
        <w:lastRenderedPageBreak/>
        <w:t xml:space="preserve">“Decision makers” are those </w:t>
      </w:r>
      <w:r w:rsidR="009A4227">
        <w:rPr>
          <w:lang w:val="en-US"/>
        </w:rPr>
        <w:t xml:space="preserve">who </w:t>
      </w:r>
      <w:r>
        <w:rPr>
          <w:lang w:val="en-US"/>
        </w:rPr>
        <w:t>make decisions on procurement policy (incl. procurement law) in a given jurisdiction.</w:t>
      </w:r>
    </w:p>
    <w:p w14:paraId="3D53AF79" w14:textId="589E42DB" w:rsidR="00F63B6D" w:rsidRPr="00257BDF" w:rsidRDefault="00F63B6D" w:rsidP="009445F8">
      <w:pPr>
        <w:pStyle w:val="ListParagraph"/>
        <w:numPr>
          <w:ilvl w:val="0"/>
          <w:numId w:val="48"/>
        </w:numPr>
        <w:jc w:val="both"/>
        <w:rPr>
          <w:lang w:val="en-US"/>
        </w:rPr>
      </w:pPr>
      <w:r>
        <w:rPr>
          <w:lang w:val="en-IE"/>
        </w:rPr>
        <w:t>“Implementer” is anyone implementing eForms. An implementation can be national, but it can also be regional, or private, on a competitive market</w:t>
      </w:r>
      <w:r w:rsidR="00257BDF">
        <w:rPr>
          <w:rStyle w:val="FootnoteReference"/>
          <w:lang w:val="en-IE"/>
        </w:rPr>
        <w:footnoteReference w:id="6"/>
      </w:r>
      <w:r>
        <w:rPr>
          <w:lang w:val="en-IE"/>
        </w:rPr>
        <w:t>.</w:t>
      </w:r>
      <w:r w:rsidR="00257BDF">
        <w:rPr>
          <w:lang w:val="en-IE"/>
        </w:rPr>
        <w:t xml:space="preserve"> Throughout the text, phrases such as “in an EU country” may sometimes apply to “in an implementation”. </w:t>
      </w:r>
    </w:p>
    <w:p w14:paraId="2B106552" w14:textId="18E8421A" w:rsidR="00257BDF" w:rsidRDefault="00257BDF" w:rsidP="009445F8">
      <w:pPr>
        <w:pStyle w:val="ListParagraph"/>
        <w:numPr>
          <w:ilvl w:val="0"/>
          <w:numId w:val="48"/>
        </w:numPr>
        <w:jc w:val="both"/>
        <w:rPr>
          <w:lang w:val="en-US"/>
        </w:rPr>
      </w:pPr>
      <w:r>
        <w:rPr>
          <w:lang w:val="en-US"/>
        </w:rPr>
        <w:t xml:space="preserve">“BT” and “BG”, used to identify rows in Table 2 of the eForms Regulation, refer to “business term” (essentially a field) and “business group” (essentially a section). </w:t>
      </w:r>
    </w:p>
    <w:p w14:paraId="213CA68E" w14:textId="5DAC6FE5" w:rsidR="00690DE1" w:rsidRDefault="00690DE1" w:rsidP="009445F8">
      <w:pPr>
        <w:pStyle w:val="ListParagraph"/>
        <w:numPr>
          <w:ilvl w:val="0"/>
          <w:numId w:val="48"/>
        </w:numPr>
        <w:jc w:val="both"/>
        <w:rPr>
          <w:lang w:val="en-US"/>
        </w:rPr>
      </w:pPr>
      <w:r>
        <w:rPr>
          <w:lang w:val="en-US"/>
        </w:rPr>
        <w:t xml:space="preserve">“Publications Office” is the </w:t>
      </w:r>
      <w:hyperlink r:id="rId17" w:history="1">
        <w:r w:rsidRPr="00690DE1">
          <w:rPr>
            <w:rStyle w:val="Hyperlink"/>
            <w:lang w:val="en-US"/>
          </w:rPr>
          <w:t>Publications Office of the European Union</w:t>
        </w:r>
      </w:hyperlink>
      <w:r>
        <w:rPr>
          <w:lang w:val="en-US"/>
        </w:rPr>
        <w:t>. The Publications Office is responsible for TED, eNotices, and other systems.</w:t>
      </w:r>
    </w:p>
    <w:p w14:paraId="3B4D99AE" w14:textId="32941CB1" w:rsidR="00586268" w:rsidRDefault="00586268" w:rsidP="009445F8">
      <w:pPr>
        <w:pStyle w:val="ListParagraph"/>
        <w:numPr>
          <w:ilvl w:val="0"/>
          <w:numId w:val="48"/>
        </w:numPr>
        <w:jc w:val="both"/>
        <w:rPr>
          <w:lang w:val="en-US"/>
        </w:rPr>
      </w:pPr>
      <w:r w:rsidRPr="006E5BFC">
        <w:rPr>
          <w:lang w:val="en-US"/>
        </w:rPr>
        <w:t>“Notice” (of which there</w:t>
      </w:r>
      <w:r w:rsidR="002847D1" w:rsidRPr="006E5BFC">
        <w:rPr>
          <w:lang w:val="en-US"/>
        </w:rPr>
        <w:t xml:space="preserve"> are</w:t>
      </w:r>
      <w:r w:rsidRPr="006E5BFC">
        <w:rPr>
          <w:lang w:val="en-US"/>
        </w:rPr>
        <w:t xml:space="preserve"> 40) </w:t>
      </w:r>
      <w:r w:rsidR="0095511F" w:rsidRPr="006E5BFC">
        <w:rPr>
          <w:lang w:val="en-US"/>
        </w:rPr>
        <w:t>is a document (or procurement data) published by the buyer about</w:t>
      </w:r>
      <w:r w:rsidR="0095511F" w:rsidRPr="0095511F">
        <w:rPr>
          <w:lang w:val="en-US"/>
        </w:rPr>
        <w:t xml:space="preserve"> market opportunities and results</w:t>
      </w:r>
      <w:r w:rsidR="00A56265">
        <w:rPr>
          <w:lang w:val="en-US"/>
        </w:rPr>
        <w:t xml:space="preserve">. </w:t>
      </w:r>
      <w:r w:rsidR="00A56265" w:rsidRPr="00A56265">
        <w:rPr>
          <w:lang w:val="en-US"/>
        </w:rPr>
        <w:t>A standard form with appropriate inform</w:t>
      </w:r>
      <w:r w:rsidR="00A56265">
        <w:rPr>
          <w:lang w:val="en-US"/>
        </w:rPr>
        <w:t>ation in its fields is a notice</w:t>
      </w:r>
      <w:r w:rsidR="00A56265" w:rsidRPr="00A56265">
        <w:rPr>
          <w:lang w:val="en-US"/>
        </w:rPr>
        <w:t xml:space="preserve"> </w:t>
      </w:r>
      <w:r w:rsidR="0095511F" w:rsidRPr="0095511F" w:rsidDel="00957F14">
        <w:rPr>
          <w:lang w:val="en-US"/>
        </w:rPr>
        <w:t xml:space="preserve"> </w:t>
      </w:r>
      <w:r w:rsidR="0095511F">
        <w:rPr>
          <w:lang w:val="en-US"/>
        </w:rPr>
        <w:t>(see</w:t>
      </w:r>
      <w:r w:rsidR="00A56265">
        <w:rPr>
          <w:lang w:val="en-US"/>
        </w:rPr>
        <w:t xml:space="preserve"> </w:t>
      </w:r>
      <w:r>
        <w:rPr>
          <w:lang w:val="en-US"/>
        </w:rPr>
        <w:t xml:space="preserve">Table 1 of the Annex of the </w:t>
      </w:r>
      <w:r w:rsidR="002847D1">
        <w:rPr>
          <w:lang w:val="en-US"/>
        </w:rPr>
        <w:t xml:space="preserve">eForms </w:t>
      </w:r>
      <w:r>
        <w:rPr>
          <w:lang w:val="en-US"/>
        </w:rPr>
        <w:t>Regulation</w:t>
      </w:r>
      <w:r w:rsidR="0095511F">
        <w:rPr>
          <w:lang w:val="en-US"/>
        </w:rPr>
        <w:t>)</w:t>
      </w:r>
      <w:r>
        <w:rPr>
          <w:lang w:val="en-US"/>
        </w:rPr>
        <w:t>.</w:t>
      </w:r>
    </w:p>
    <w:p w14:paraId="063E4684" w14:textId="32347F3D" w:rsidR="002847D1" w:rsidRDefault="002847D1" w:rsidP="009445F8">
      <w:pPr>
        <w:pStyle w:val="ListParagraph"/>
        <w:numPr>
          <w:ilvl w:val="0"/>
          <w:numId w:val="48"/>
        </w:numPr>
        <w:jc w:val="both"/>
        <w:rPr>
          <w:lang w:val="en-US"/>
        </w:rPr>
      </w:pPr>
      <w:r>
        <w:rPr>
          <w:lang w:val="en-US"/>
        </w:rPr>
        <w:t>“Codelist”</w:t>
      </w:r>
      <w:r w:rsidR="00BE2035">
        <w:rPr>
          <w:lang w:val="en-US"/>
        </w:rPr>
        <w:t xml:space="preserve"> is a list of </w:t>
      </w:r>
      <w:r w:rsidR="00927F9F">
        <w:rPr>
          <w:lang w:val="en-US"/>
        </w:rPr>
        <w:t xml:space="preserve">values (represented by </w:t>
      </w:r>
      <w:r w:rsidR="00BE2035">
        <w:rPr>
          <w:lang w:val="en-US"/>
        </w:rPr>
        <w:t>codes</w:t>
      </w:r>
      <w:r w:rsidR="00927F9F">
        <w:rPr>
          <w:lang w:val="en-US"/>
        </w:rPr>
        <w:t>)</w:t>
      </w:r>
      <w:r w:rsidR="00BE2035">
        <w:rPr>
          <w:lang w:val="en-US"/>
        </w:rPr>
        <w:t xml:space="preserve"> that must be used for </w:t>
      </w:r>
      <w:r w:rsidR="00862FD4">
        <w:rPr>
          <w:lang w:val="en-US"/>
        </w:rPr>
        <w:t>given</w:t>
      </w:r>
      <w:r w:rsidR="00BE2035">
        <w:rPr>
          <w:lang w:val="en-US"/>
        </w:rPr>
        <w:t xml:space="preserve"> field</w:t>
      </w:r>
      <w:r w:rsidR="00862FD4">
        <w:rPr>
          <w:lang w:val="en-US"/>
        </w:rPr>
        <w:t>s</w:t>
      </w:r>
      <w:r w:rsidR="00BE2035">
        <w:rPr>
          <w:lang w:val="en-US"/>
        </w:rPr>
        <w:t xml:space="preserve">. </w:t>
      </w:r>
    </w:p>
    <w:p w14:paraId="2AA428A7" w14:textId="7DEBAD72" w:rsidR="00D44DC1" w:rsidRPr="00A85DFF" w:rsidRDefault="00331F24" w:rsidP="00A85DFF">
      <w:pPr>
        <w:pStyle w:val="ListParagraph"/>
        <w:numPr>
          <w:ilvl w:val="0"/>
          <w:numId w:val="48"/>
        </w:numPr>
        <w:jc w:val="both"/>
        <w:rPr>
          <w:lang w:val="en-US"/>
        </w:rPr>
      </w:pPr>
      <w:r>
        <w:rPr>
          <w:lang w:val="en-US"/>
        </w:rPr>
        <w:t xml:space="preserve">UBL (Universal Business Language) </w:t>
      </w:r>
      <w:r w:rsidRPr="00331F24">
        <w:rPr>
          <w:lang w:val="en-US"/>
        </w:rPr>
        <w:t>is a royalty free library of standard XML electronic business documents</w:t>
      </w:r>
      <w:r>
        <w:rPr>
          <w:lang w:val="en-US"/>
        </w:rPr>
        <w:t>.</w:t>
      </w:r>
    </w:p>
    <w:p w14:paraId="645ECF76" w14:textId="77777777" w:rsidR="0097209B" w:rsidRDefault="0097209B" w:rsidP="00AB1B2E">
      <w:pPr>
        <w:rPr>
          <w:lang w:val="en-US"/>
        </w:rPr>
      </w:pPr>
    </w:p>
    <w:p w14:paraId="56E5F04F" w14:textId="77685769" w:rsidR="00AF3363" w:rsidRPr="0097209B" w:rsidRDefault="00A72DBC" w:rsidP="005B1441">
      <w:pPr>
        <w:jc w:val="both"/>
        <w:rPr>
          <w:lang w:val="cs-CZ"/>
        </w:rPr>
      </w:pPr>
      <w:r>
        <w:rPr>
          <w:lang w:val="en-US"/>
        </w:rPr>
        <w:t>In general, the</w:t>
      </w:r>
      <w:r w:rsidR="00EA1009">
        <w:rPr>
          <w:lang w:val="en-US"/>
        </w:rPr>
        <w:t xml:space="preserve"> </w:t>
      </w:r>
      <w:r w:rsidR="00257BDF">
        <w:rPr>
          <w:lang w:val="en-US"/>
        </w:rPr>
        <w:t>t</w:t>
      </w:r>
      <w:r w:rsidR="00AF3363" w:rsidRPr="00AF3363">
        <w:rPr>
          <w:lang w:val="en-US"/>
        </w:rPr>
        <w:t xml:space="preserve">erminology of </w:t>
      </w:r>
      <w:r w:rsidR="00AF3363">
        <w:rPr>
          <w:lang w:val="en-US"/>
        </w:rPr>
        <w:t>the</w:t>
      </w:r>
      <w:r w:rsidR="00586268" w:rsidRPr="00586268">
        <w:rPr>
          <w:lang w:val="en-US"/>
        </w:rPr>
        <w:t xml:space="preserve"> </w:t>
      </w:r>
      <w:r w:rsidR="00586268">
        <w:rPr>
          <w:lang w:val="en-US"/>
        </w:rPr>
        <w:t xml:space="preserve">Directives (e.g. economic operator) and the </w:t>
      </w:r>
      <w:r w:rsidR="00AF3363">
        <w:rPr>
          <w:lang w:val="en-US"/>
        </w:rPr>
        <w:t>eForms Regulation (e.g. organisation, buyer, winner)</w:t>
      </w:r>
      <w:r>
        <w:rPr>
          <w:lang w:val="en-US"/>
        </w:rPr>
        <w:t xml:space="preserve"> is re-used in this document</w:t>
      </w:r>
      <w:r w:rsidR="00AF3363">
        <w:rPr>
          <w:lang w:val="en-US"/>
        </w:rPr>
        <w:t xml:space="preserve">. </w:t>
      </w:r>
    </w:p>
    <w:p w14:paraId="7C31D3DB" w14:textId="2A5E73C2" w:rsidR="00EA16FB" w:rsidRPr="0059550D" w:rsidRDefault="00EA16FB" w:rsidP="00EA16FB">
      <w:pPr>
        <w:pStyle w:val="Heading1"/>
        <w:rPr>
          <w:rFonts w:eastAsia="Times New Roman"/>
          <w:lang w:val="en-IE"/>
        </w:rPr>
      </w:pPr>
      <w:bookmarkStart w:id="6" w:name="_Toc25684062"/>
      <w:r w:rsidRPr="0059550D">
        <w:rPr>
          <w:rFonts w:eastAsia="Times New Roman"/>
          <w:lang w:val="en-IE"/>
        </w:rPr>
        <w:t>Introduction</w:t>
      </w:r>
      <w:r w:rsidR="00E06D9E" w:rsidRPr="0059550D">
        <w:rPr>
          <w:rFonts w:eastAsia="Times New Roman"/>
          <w:lang w:val="en-IE"/>
        </w:rPr>
        <w:t xml:space="preserve"> to eForms</w:t>
      </w:r>
      <w:bookmarkEnd w:id="6"/>
    </w:p>
    <w:p w14:paraId="0180F998" w14:textId="4BF3DF6F" w:rsidR="00EA16FB" w:rsidRPr="0059550D" w:rsidRDefault="00EA16FB" w:rsidP="00214E3A">
      <w:pPr>
        <w:pStyle w:val="NoSpacing"/>
        <w:rPr>
          <w:lang w:val="en-IE"/>
        </w:rPr>
      </w:pPr>
    </w:p>
    <w:p w14:paraId="26029FD9" w14:textId="5CCD3029" w:rsidR="00153D35" w:rsidRDefault="000939AE" w:rsidP="00AD0546">
      <w:pPr>
        <w:pStyle w:val="NoSpacing"/>
        <w:rPr>
          <w:szCs w:val="24"/>
          <w:lang w:val="en-IE"/>
        </w:rPr>
      </w:pPr>
      <w:r w:rsidRPr="0059550D">
        <w:rPr>
          <w:szCs w:val="24"/>
          <w:lang w:val="en-IE"/>
        </w:rPr>
        <w:t xml:space="preserve">eForms </w:t>
      </w:r>
      <w:r w:rsidR="00CC33ED" w:rsidRPr="0059550D">
        <w:rPr>
          <w:szCs w:val="24"/>
          <w:lang w:val="en-IE"/>
        </w:rPr>
        <w:t>are a</w:t>
      </w:r>
      <w:r w:rsidR="00626C83">
        <w:rPr>
          <w:szCs w:val="24"/>
          <w:lang w:val="en-IE"/>
        </w:rPr>
        <w:t>n open</w:t>
      </w:r>
      <w:r w:rsidR="00417D1D">
        <w:rPr>
          <w:szCs w:val="24"/>
          <w:lang w:val="en-IE"/>
        </w:rPr>
        <w:t xml:space="preserve"> </w:t>
      </w:r>
      <w:r w:rsidR="00CC33ED" w:rsidRPr="0059550D">
        <w:rPr>
          <w:szCs w:val="24"/>
          <w:lang w:val="en-IE"/>
        </w:rPr>
        <w:t>standard</w:t>
      </w:r>
      <w:r w:rsidR="00350418" w:rsidRPr="0059550D">
        <w:rPr>
          <w:rStyle w:val="FootnoteReference"/>
          <w:lang w:val="en-IE"/>
        </w:rPr>
        <w:footnoteReference w:id="7"/>
      </w:r>
      <w:r w:rsidR="00CC33ED" w:rsidRPr="0059550D">
        <w:rPr>
          <w:szCs w:val="24"/>
          <w:lang w:val="en-IE"/>
        </w:rPr>
        <w:t xml:space="preserve"> </w:t>
      </w:r>
      <w:r w:rsidR="00626C83">
        <w:rPr>
          <w:szCs w:val="24"/>
          <w:lang w:val="en-IE"/>
        </w:rPr>
        <w:t xml:space="preserve">for procurement data </w:t>
      </w:r>
      <w:r w:rsidR="00CC33ED" w:rsidRPr="0059550D">
        <w:rPr>
          <w:szCs w:val="24"/>
          <w:lang w:val="en-IE"/>
        </w:rPr>
        <w:t xml:space="preserve">used to </w:t>
      </w:r>
      <w:r w:rsidR="00E00CB6" w:rsidRPr="0059550D">
        <w:rPr>
          <w:szCs w:val="24"/>
          <w:lang w:val="en-IE"/>
        </w:rPr>
        <w:t xml:space="preserve">publish notices </w:t>
      </w:r>
      <w:r w:rsidR="00CC33ED" w:rsidRPr="0059550D">
        <w:rPr>
          <w:szCs w:val="24"/>
          <w:lang w:val="en-IE"/>
        </w:rPr>
        <w:t xml:space="preserve">about </w:t>
      </w:r>
      <w:r w:rsidR="00163DF1">
        <w:rPr>
          <w:szCs w:val="24"/>
          <w:lang w:val="en-IE"/>
        </w:rPr>
        <w:t>public buyers’</w:t>
      </w:r>
      <w:r w:rsidR="00163DF1" w:rsidRPr="0059550D">
        <w:rPr>
          <w:szCs w:val="24"/>
          <w:lang w:val="en-IE"/>
        </w:rPr>
        <w:t xml:space="preserve"> </w:t>
      </w:r>
      <w:r w:rsidR="00BE0163" w:rsidRPr="0059550D">
        <w:rPr>
          <w:szCs w:val="24"/>
          <w:lang w:val="en-IE"/>
        </w:rPr>
        <w:t xml:space="preserve">intended </w:t>
      </w:r>
      <w:r w:rsidR="00CC33ED" w:rsidRPr="0059550D">
        <w:rPr>
          <w:szCs w:val="24"/>
          <w:lang w:val="en-IE"/>
        </w:rPr>
        <w:t xml:space="preserve">and </w:t>
      </w:r>
      <w:r w:rsidR="001507EB" w:rsidRPr="0059550D">
        <w:rPr>
          <w:szCs w:val="24"/>
          <w:lang w:val="en-IE"/>
        </w:rPr>
        <w:t xml:space="preserve">realized </w:t>
      </w:r>
      <w:r w:rsidR="00CC33ED" w:rsidRPr="0059550D">
        <w:rPr>
          <w:szCs w:val="24"/>
          <w:lang w:val="en-IE"/>
        </w:rPr>
        <w:t>purchases</w:t>
      </w:r>
      <w:r w:rsidR="00F13EE0" w:rsidRPr="0059550D">
        <w:rPr>
          <w:szCs w:val="24"/>
          <w:lang w:val="en-IE"/>
        </w:rPr>
        <w:t xml:space="preserve"> on </w:t>
      </w:r>
      <w:r w:rsidR="00F13EE0" w:rsidRPr="00FE1CD0">
        <w:rPr>
          <w:szCs w:val="24"/>
          <w:lang w:val="en-IE"/>
        </w:rPr>
        <w:t>Tenders Electronic Daily</w:t>
      </w:r>
      <w:r w:rsidR="00F13EE0" w:rsidRPr="0059550D">
        <w:rPr>
          <w:szCs w:val="24"/>
          <w:lang w:val="en-IE"/>
        </w:rPr>
        <w:t xml:space="preserve">, the </w:t>
      </w:r>
      <w:r w:rsidR="00AA7814">
        <w:rPr>
          <w:szCs w:val="24"/>
          <w:lang w:val="en-IE"/>
        </w:rPr>
        <w:t xml:space="preserve">online version of the </w:t>
      </w:r>
      <w:r w:rsidR="00B83132">
        <w:rPr>
          <w:szCs w:val="24"/>
          <w:lang w:val="en-IE"/>
        </w:rPr>
        <w:t>S</w:t>
      </w:r>
      <w:r w:rsidR="00AA7814">
        <w:rPr>
          <w:szCs w:val="24"/>
          <w:lang w:val="en-IE"/>
        </w:rPr>
        <w:t xml:space="preserve">upplement to the Official Journal of the </w:t>
      </w:r>
      <w:r w:rsidR="00F13EE0" w:rsidRPr="0059550D">
        <w:rPr>
          <w:szCs w:val="24"/>
          <w:lang w:val="en-IE"/>
        </w:rPr>
        <w:t xml:space="preserve">European </w:t>
      </w:r>
      <w:r w:rsidR="00AA7814">
        <w:rPr>
          <w:szCs w:val="24"/>
          <w:lang w:val="en-IE"/>
        </w:rPr>
        <w:t xml:space="preserve">Union dedicated to </w:t>
      </w:r>
      <w:r w:rsidR="00F13EE0" w:rsidRPr="0059550D">
        <w:rPr>
          <w:szCs w:val="24"/>
          <w:lang w:val="en-IE"/>
        </w:rPr>
        <w:t>public procurement advertising</w:t>
      </w:r>
      <w:r w:rsidR="00CC33ED" w:rsidRPr="0059550D">
        <w:rPr>
          <w:szCs w:val="24"/>
          <w:lang w:val="en-IE"/>
        </w:rPr>
        <w:t>.</w:t>
      </w:r>
      <w:r w:rsidR="00FE018B" w:rsidRPr="0059550D">
        <w:rPr>
          <w:szCs w:val="24"/>
          <w:lang w:val="en-IE"/>
        </w:rPr>
        <w:t xml:space="preserve"> </w:t>
      </w:r>
      <w:r w:rsidR="00AD0546" w:rsidRPr="0059550D">
        <w:rPr>
          <w:szCs w:val="24"/>
          <w:lang w:val="en-IE"/>
        </w:rPr>
        <w:t xml:space="preserve">eForms are </w:t>
      </w:r>
      <w:r w:rsidR="00153D35" w:rsidRPr="0059550D">
        <w:rPr>
          <w:szCs w:val="24"/>
          <w:lang w:val="en-IE"/>
        </w:rPr>
        <w:t>crucial for attracting businesses, the digital transformation of public procurement, and the better functioning of public procurement systems.</w:t>
      </w:r>
      <w:r w:rsidR="00667BF1" w:rsidRPr="0059550D">
        <w:rPr>
          <w:szCs w:val="24"/>
          <w:lang w:val="en-IE"/>
        </w:rPr>
        <w:t xml:space="preserve"> eForms are shaped by </w:t>
      </w:r>
      <w:r w:rsidR="0092756A" w:rsidRPr="0059550D">
        <w:rPr>
          <w:szCs w:val="24"/>
          <w:lang w:val="en-IE"/>
        </w:rPr>
        <w:t>user needs</w:t>
      </w:r>
      <w:r w:rsidR="00492672" w:rsidRPr="0059550D">
        <w:rPr>
          <w:szCs w:val="24"/>
          <w:lang w:val="en-IE"/>
        </w:rPr>
        <w:t xml:space="preserve"> and</w:t>
      </w:r>
      <w:r w:rsidR="0092756A" w:rsidRPr="0059550D">
        <w:rPr>
          <w:szCs w:val="24"/>
          <w:lang w:val="en-IE"/>
        </w:rPr>
        <w:t xml:space="preserve"> </w:t>
      </w:r>
      <w:r w:rsidR="00667BF1" w:rsidRPr="0059550D">
        <w:rPr>
          <w:szCs w:val="24"/>
          <w:lang w:val="en-IE"/>
        </w:rPr>
        <w:t xml:space="preserve">legal requirements. </w:t>
      </w:r>
    </w:p>
    <w:p w14:paraId="11F9F743" w14:textId="2BCD056B" w:rsidR="00153D35" w:rsidRPr="0059550D" w:rsidRDefault="00153D35" w:rsidP="00AD0546">
      <w:pPr>
        <w:pStyle w:val="NoSpacing"/>
        <w:rPr>
          <w:szCs w:val="24"/>
          <w:lang w:val="en-IE"/>
        </w:rPr>
      </w:pPr>
    </w:p>
    <w:p w14:paraId="4F6D5212" w14:textId="61A0066C" w:rsidR="00F13EE0" w:rsidRPr="0059550D" w:rsidRDefault="009B33BE" w:rsidP="00F13EE0">
      <w:pPr>
        <w:rPr>
          <w:szCs w:val="24"/>
          <w:lang w:val="en-IE"/>
        </w:rPr>
      </w:pPr>
      <w:r w:rsidRPr="0059550D">
        <w:rPr>
          <w:szCs w:val="24"/>
          <w:lang w:val="en-IE"/>
        </w:rPr>
        <w:t>eForms consist of</w:t>
      </w:r>
      <w:r w:rsidR="00911A60" w:rsidRPr="0059550D">
        <w:rPr>
          <w:szCs w:val="24"/>
          <w:lang w:val="en-IE"/>
        </w:rPr>
        <w:t xml:space="preserve"> several </w:t>
      </w:r>
      <w:r w:rsidR="00135653" w:rsidRPr="0059550D">
        <w:rPr>
          <w:szCs w:val="24"/>
          <w:lang w:val="en-IE"/>
        </w:rPr>
        <w:t>elements</w:t>
      </w:r>
      <w:r w:rsidR="008841C3">
        <w:rPr>
          <w:szCs w:val="24"/>
          <w:lang w:val="en-IE"/>
        </w:rPr>
        <w:t xml:space="preserve"> which precede any tailoring decisions at national level</w:t>
      </w:r>
      <w:r w:rsidR="00F13EE0" w:rsidRPr="0059550D">
        <w:rPr>
          <w:szCs w:val="24"/>
          <w:lang w:val="en-IE"/>
        </w:rPr>
        <w:t xml:space="preserve">: </w:t>
      </w:r>
    </w:p>
    <w:p w14:paraId="5F31A5AD" w14:textId="6C8C35B4" w:rsidR="00EA16FB" w:rsidRPr="0059550D" w:rsidRDefault="00B62C1F" w:rsidP="00DC6C47">
      <w:pPr>
        <w:pStyle w:val="ListParagraph"/>
        <w:numPr>
          <w:ilvl w:val="0"/>
          <w:numId w:val="14"/>
        </w:numPr>
        <w:rPr>
          <w:lang w:val="en-IE"/>
        </w:rPr>
      </w:pPr>
      <w:r>
        <w:rPr>
          <w:lang w:val="en-IE"/>
        </w:rPr>
        <w:t xml:space="preserve">eForms </w:t>
      </w:r>
      <w:r w:rsidR="00827AB3" w:rsidRPr="0059550D">
        <w:rPr>
          <w:lang w:val="en-IE"/>
        </w:rPr>
        <w:t>Implementing Regulation</w:t>
      </w:r>
      <w:r>
        <w:rPr>
          <w:lang w:val="en-IE"/>
        </w:rPr>
        <w:t xml:space="preserve"> </w:t>
      </w:r>
      <w:r w:rsidRPr="00B62C1F">
        <w:rPr>
          <w:lang w:val="en-IE"/>
        </w:rPr>
        <w:t>(EU) 2019/1780</w:t>
      </w:r>
      <w:r w:rsidR="0096546D">
        <w:rPr>
          <w:rStyle w:val="FootnoteReference"/>
          <w:lang w:val="en-IE"/>
        </w:rPr>
        <w:footnoteReference w:id="8"/>
      </w:r>
      <w:r w:rsidR="00DC565C">
        <w:rPr>
          <w:lang w:val="en-IE"/>
        </w:rPr>
        <w:t>;</w:t>
      </w:r>
    </w:p>
    <w:p w14:paraId="3A4442E9" w14:textId="7B4BCC6F" w:rsidR="00EA16FB" w:rsidRDefault="00911A60" w:rsidP="00DC6C47">
      <w:pPr>
        <w:pStyle w:val="ListParagraph"/>
        <w:numPr>
          <w:ilvl w:val="0"/>
          <w:numId w:val="14"/>
        </w:numPr>
        <w:rPr>
          <w:lang w:val="en-IE"/>
        </w:rPr>
      </w:pPr>
      <w:r w:rsidRPr="0059550D">
        <w:rPr>
          <w:lang w:val="en-IE"/>
        </w:rPr>
        <w:t>Technical Implement</w:t>
      </w:r>
      <w:r w:rsidR="00417D1D">
        <w:rPr>
          <w:lang w:val="en-IE"/>
        </w:rPr>
        <w:t>ation</w:t>
      </w:r>
      <w:r w:rsidRPr="0059550D">
        <w:rPr>
          <w:lang w:val="en-IE"/>
        </w:rPr>
        <w:t xml:space="preserve"> </w:t>
      </w:r>
      <w:r w:rsidR="00862FD4">
        <w:rPr>
          <w:lang w:val="en-IE"/>
        </w:rPr>
        <w:t>Guidelines</w:t>
      </w:r>
      <w:r w:rsidRPr="0059550D">
        <w:rPr>
          <w:lang w:val="en-IE"/>
        </w:rPr>
        <w:t xml:space="preserve">, </w:t>
      </w:r>
      <w:r w:rsidR="00862FD4">
        <w:rPr>
          <w:lang w:val="en-IE"/>
        </w:rPr>
        <w:t xml:space="preserve">schemas, </w:t>
      </w:r>
      <w:r w:rsidR="00B83132">
        <w:rPr>
          <w:lang w:val="en-IE"/>
        </w:rPr>
        <w:t xml:space="preserve"> </w:t>
      </w:r>
      <w:r w:rsidR="00DC565C" w:rsidRPr="004152BB">
        <w:rPr>
          <w:lang w:val="en-IE"/>
        </w:rPr>
        <w:t>c</w:t>
      </w:r>
      <w:r w:rsidRPr="00DC565C">
        <w:rPr>
          <w:lang w:val="en-IE"/>
        </w:rPr>
        <w:t>odelists</w:t>
      </w:r>
      <w:r w:rsidRPr="0059550D">
        <w:rPr>
          <w:lang w:val="en-IE"/>
        </w:rPr>
        <w:t xml:space="preserve">, business </w:t>
      </w:r>
      <w:r w:rsidR="00927F9F">
        <w:rPr>
          <w:lang w:val="en-IE"/>
        </w:rPr>
        <w:t xml:space="preserve">and validation </w:t>
      </w:r>
      <w:r w:rsidRPr="0059550D">
        <w:rPr>
          <w:lang w:val="en-IE"/>
        </w:rPr>
        <w:t>rules</w:t>
      </w:r>
      <w:r w:rsidR="00DF00FC" w:rsidRPr="0059550D">
        <w:rPr>
          <w:lang w:val="en-IE"/>
        </w:rPr>
        <w:t xml:space="preserve">, </w:t>
      </w:r>
      <w:r w:rsidR="006951E0" w:rsidRPr="0059550D">
        <w:rPr>
          <w:lang w:val="en-IE"/>
        </w:rPr>
        <w:t>and field labels</w:t>
      </w:r>
      <w:r w:rsidR="008841C3">
        <w:rPr>
          <w:lang w:val="en-IE"/>
        </w:rPr>
        <w:t xml:space="preserve"> in EU official languages for the user interface</w:t>
      </w:r>
      <w:r w:rsidR="00DC565C">
        <w:rPr>
          <w:lang w:val="en-IE"/>
        </w:rPr>
        <w:t>; and</w:t>
      </w:r>
    </w:p>
    <w:p w14:paraId="27CA6528" w14:textId="365C3F50" w:rsidR="00DC565C" w:rsidRDefault="00DC565C" w:rsidP="00DC6C47">
      <w:pPr>
        <w:pStyle w:val="ListParagraph"/>
        <w:numPr>
          <w:ilvl w:val="0"/>
          <w:numId w:val="14"/>
        </w:numPr>
        <w:rPr>
          <w:lang w:val="en-IE"/>
        </w:rPr>
      </w:pPr>
      <w:r>
        <w:rPr>
          <w:lang w:val="en-IE"/>
        </w:rPr>
        <w:t>any update of the above mentioned documents.</w:t>
      </w:r>
    </w:p>
    <w:p w14:paraId="66B5E42F" w14:textId="77777777" w:rsidR="00A97E6F" w:rsidRPr="0059550D" w:rsidRDefault="00A97E6F" w:rsidP="00A97E6F">
      <w:pPr>
        <w:rPr>
          <w:lang w:val="en-IE"/>
        </w:rPr>
      </w:pPr>
    </w:p>
    <w:p w14:paraId="2C099FCC" w14:textId="62CC8455" w:rsidR="00EE4547" w:rsidRDefault="00C70B3B" w:rsidP="005B1441">
      <w:pPr>
        <w:jc w:val="both"/>
        <w:rPr>
          <w:lang w:val="en-IE"/>
        </w:rPr>
      </w:pPr>
      <w:r>
        <w:rPr>
          <w:lang w:val="en-IE"/>
        </w:rPr>
        <w:t>The eForms Implementing Regulation establishe</w:t>
      </w:r>
      <w:r w:rsidR="00A86869">
        <w:rPr>
          <w:lang w:val="en-IE"/>
        </w:rPr>
        <w:t>s</w:t>
      </w:r>
      <w:r>
        <w:rPr>
          <w:lang w:val="en-IE"/>
        </w:rPr>
        <w:t xml:space="preserve"> the following standard forms</w:t>
      </w:r>
      <w:r w:rsidR="00EE4547">
        <w:rPr>
          <w:lang w:val="en-IE"/>
        </w:rPr>
        <w:t xml:space="preserve"> </w:t>
      </w:r>
      <w:r w:rsidR="00A86869">
        <w:rPr>
          <w:lang w:val="en-IE"/>
        </w:rPr>
        <w:t xml:space="preserve">that are </w:t>
      </w:r>
      <w:r w:rsidR="00EE4547">
        <w:rPr>
          <w:lang w:val="en-IE"/>
        </w:rPr>
        <w:t>used for the publication of the related notices</w:t>
      </w:r>
      <w:r>
        <w:rPr>
          <w:lang w:val="en-IE"/>
        </w:rPr>
        <w:t>: ‘Planning’; ‘Competition’; ‘Direct award prenotification’; ‘Result’; ‘Contract Modification’; ‘Change’. The standard forms consist of the fields set out in the Annex to the Implementing Regulation</w:t>
      </w:r>
      <w:r w:rsidR="00EE4547">
        <w:rPr>
          <w:lang w:val="en-IE"/>
        </w:rPr>
        <w:t xml:space="preserve">.  </w:t>
      </w:r>
    </w:p>
    <w:p w14:paraId="40C18E3C" w14:textId="77777777" w:rsidR="00EE4547" w:rsidRDefault="00EE4547" w:rsidP="005B1441">
      <w:pPr>
        <w:jc w:val="both"/>
        <w:rPr>
          <w:lang w:val="en-IE"/>
        </w:rPr>
      </w:pPr>
    </w:p>
    <w:p w14:paraId="63E88361" w14:textId="1186697D" w:rsidR="00E128BB" w:rsidRDefault="00AE6BC9" w:rsidP="005B1441">
      <w:pPr>
        <w:jc w:val="both"/>
        <w:rPr>
          <w:lang w:val="en-IE"/>
        </w:rPr>
      </w:pPr>
      <w:r w:rsidRPr="00AE6BC9">
        <w:rPr>
          <w:lang w:val="en-IE"/>
        </w:rPr>
        <w:t xml:space="preserve">The Regulation established </w:t>
      </w:r>
      <w:r w:rsidR="00E128BB">
        <w:rPr>
          <w:lang w:val="en-IE"/>
        </w:rPr>
        <w:t xml:space="preserve">the above mentioned </w:t>
      </w:r>
      <w:r w:rsidRPr="00AE6BC9">
        <w:rPr>
          <w:lang w:val="en-IE"/>
        </w:rPr>
        <w:t>six standard forms</w:t>
      </w:r>
      <w:r w:rsidR="00E128BB">
        <w:rPr>
          <w:lang w:val="en-IE"/>
        </w:rPr>
        <w:t>,</w:t>
      </w:r>
      <w:r w:rsidRPr="00AE6BC9">
        <w:rPr>
          <w:lang w:val="en-IE"/>
        </w:rPr>
        <w:t xml:space="preserve"> covering forty notices</w:t>
      </w:r>
      <w:r w:rsidR="00DC565C">
        <w:rPr>
          <w:lang w:val="en-IE"/>
        </w:rPr>
        <w:t>.</w:t>
      </w:r>
      <w:r w:rsidRPr="00AE6BC9">
        <w:rPr>
          <w:lang w:val="en-IE"/>
        </w:rPr>
        <w:t xml:space="preserve"> The standard forms (eForms) contain fields. eForms </w:t>
      </w:r>
      <w:r w:rsidR="0096546D">
        <w:rPr>
          <w:lang w:val="en-IE"/>
        </w:rPr>
        <w:t>(</w:t>
      </w:r>
      <w:r w:rsidRPr="00AE6BC9">
        <w:rPr>
          <w:lang w:val="en-IE"/>
        </w:rPr>
        <w:t>and notices</w:t>
      </w:r>
      <w:r w:rsidR="0096546D">
        <w:rPr>
          <w:lang w:val="en-IE"/>
        </w:rPr>
        <w:t>)</w:t>
      </w:r>
      <w:r w:rsidRPr="00AE6BC9">
        <w:rPr>
          <w:lang w:val="en-IE"/>
        </w:rPr>
        <w:t xml:space="preserve"> use </w:t>
      </w:r>
      <w:r w:rsidRPr="00EB186D">
        <w:rPr>
          <w:b/>
          <w:lang w:val="en-IE"/>
        </w:rPr>
        <w:t>mandatory and optional</w:t>
      </w:r>
      <w:r w:rsidRPr="00AE6BC9">
        <w:rPr>
          <w:lang w:val="en-IE"/>
        </w:rPr>
        <w:t xml:space="preserve"> </w:t>
      </w:r>
      <w:r w:rsidRPr="00EB186D">
        <w:rPr>
          <w:b/>
          <w:lang w:val="en-IE"/>
        </w:rPr>
        <w:t>fields</w:t>
      </w:r>
      <w:r>
        <w:rPr>
          <w:lang w:val="en-IE"/>
        </w:rPr>
        <w:t xml:space="preserve">.  </w:t>
      </w:r>
      <w:r w:rsidR="0096546D">
        <w:rPr>
          <w:lang w:val="en-IE"/>
        </w:rPr>
        <w:t>This document provides specific guidance on how to tailor the optional fields (see Checklist 1).</w:t>
      </w:r>
    </w:p>
    <w:p w14:paraId="747ED13E" w14:textId="77777777" w:rsidR="00EA16FB" w:rsidRPr="0059550D" w:rsidRDefault="00EA16FB" w:rsidP="00EA16FB">
      <w:pPr>
        <w:rPr>
          <w:lang w:val="en-IE"/>
        </w:rPr>
      </w:pPr>
    </w:p>
    <w:p w14:paraId="6FD6416A" w14:textId="3F9F5D93" w:rsidR="00F85C2D" w:rsidRDefault="00FF49A2" w:rsidP="00214E3A">
      <w:pPr>
        <w:pStyle w:val="NoSpacing"/>
        <w:rPr>
          <w:lang w:val="en-IE"/>
        </w:rPr>
      </w:pPr>
      <w:r w:rsidRPr="0059550D">
        <w:rPr>
          <w:lang w:val="en-IE"/>
        </w:rPr>
        <w:t>A</w:t>
      </w:r>
      <w:r w:rsidR="00EA16FB" w:rsidRPr="0059550D">
        <w:rPr>
          <w:lang w:val="en-IE"/>
        </w:rPr>
        <w:t xml:space="preserve">t the European level, </w:t>
      </w:r>
      <w:r w:rsidRPr="0059550D">
        <w:rPr>
          <w:lang w:val="en-IE"/>
        </w:rPr>
        <w:t xml:space="preserve">eForms are managed </w:t>
      </w:r>
      <w:r w:rsidR="00A63B73" w:rsidRPr="0059550D">
        <w:rPr>
          <w:lang w:val="en-IE"/>
        </w:rPr>
        <w:t xml:space="preserve">in close cooperation </w:t>
      </w:r>
      <w:r w:rsidRPr="0059550D">
        <w:rPr>
          <w:lang w:val="en-IE"/>
        </w:rPr>
        <w:t xml:space="preserve">by the European Commission (policy </w:t>
      </w:r>
      <w:r w:rsidR="001310A5">
        <w:rPr>
          <w:lang w:val="en-IE"/>
        </w:rPr>
        <w:t>aspects</w:t>
      </w:r>
      <w:r w:rsidRPr="0059550D">
        <w:rPr>
          <w:lang w:val="en-IE"/>
        </w:rPr>
        <w:t xml:space="preserve">) and the Publications Office of the EU (technical </w:t>
      </w:r>
      <w:r w:rsidR="001310A5">
        <w:rPr>
          <w:lang w:val="en-IE"/>
        </w:rPr>
        <w:t>aspects</w:t>
      </w:r>
      <w:r w:rsidRPr="0059550D">
        <w:rPr>
          <w:lang w:val="en-IE"/>
        </w:rPr>
        <w:t>)</w:t>
      </w:r>
      <w:r w:rsidR="00F85C2D" w:rsidRPr="0059550D">
        <w:rPr>
          <w:lang w:val="en-IE"/>
        </w:rPr>
        <w:t xml:space="preserve">, which </w:t>
      </w:r>
      <w:r w:rsidR="00A86869">
        <w:rPr>
          <w:lang w:val="en-IE"/>
        </w:rPr>
        <w:t xml:space="preserve">coordinate </w:t>
      </w:r>
      <w:r w:rsidR="00F85C2D" w:rsidRPr="0059550D">
        <w:rPr>
          <w:lang w:val="en-IE"/>
        </w:rPr>
        <w:t xml:space="preserve">with </w:t>
      </w:r>
      <w:r w:rsidR="00F85C2D" w:rsidRPr="0059550D">
        <w:rPr>
          <w:lang w:val="en-IE"/>
        </w:rPr>
        <w:lastRenderedPageBreak/>
        <w:t xml:space="preserve">various stakeholders all around the EU. </w:t>
      </w:r>
      <w:r w:rsidR="001D3FF7" w:rsidRPr="0059550D">
        <w:rPr>
          <w:lang w:val="en-IE"/>
        </w:rPr>
        <w:t xml:space="preserve">Detailed information is available in the eForms Governance Document. </w:t>
      </w:r>
    </w:p>
    <w:p w14:paraId="18E4F3E0" w14:textId="77777777" w:rsidR="00331F24" w:rsidRDefault="00331F24" w:rsidP="00214E3A">
      <w:pPr>
        <w:pStyle w:val="NoSpacing"/>
        <w:rPr>
          <w:lang w:val="en-IE"/>
        </w:rPr>
      </w:pPr>
    </w:p>
    <w:p w14:paraId="3CA4F4AF" w14:textId="2A0B94FD" w:rsidR="00331F24" w:rsidRPr="00026497" w:rsidRDefault="00331F24" w:rsidP="0060141A">
      <w:pPr>
        <w:pStyle w:val="NoSpacing"/>
        <w:rPr>
          <w:lang w:val="en-IE"/>
        </w:rPr>
      </w:pPr>
      <w:r>
        <w:rPr>
          <w:lang w:val="en-IE"/>
        </w:rPr>
        <w:t xml:space="preserve">The Publications Office </w:t>
      </w:r>
      <w:r w:rsidR="0060141A" w:rsidRPr="003301C9">
        <w:rPr>
          <w:lang w:val="en-IE"/>
        </w:rPr>
        <w:t xml:space="preserve">of the EU </w:t>
      </w:r>
      <w:r>
        <w:rPr>
          <w:lang w:val="en-IE"/>
        </w:rPr>
        <w:t>is currently developing the</w:t>
      </w:r>
      <w:r w:rsidR="00A85DFF">
        <w:rPr>
          <w:lang w:val="en-IE"/>
        </w:rPr>
        <w:t xml:space="preserve"> </w:t>
      </w:r>
      <w:r w:rsidR="00B83132">
        <w:rPr>
          <w:lang w:val="en-IE"/>
        </w:rPr>
        <w:t>exchange data model /</w:t>
      </w:r>
      <w:r w:rsidR="00A85DFF">
        <w:rPr>
          <w:lang w:val="en-IE"/>
        </w:rPr>
        <w:t>technical specifications for the eForms (</w:t>
      </w:r>
      <w:r>
        <w:rPr>
          <w:lang w:val="en-IE"/>
        </w:rPr>
        <w:t>XML schema</w:t>
      </w:r>
      <w:r w:rsidR="008C3552">
        <w:rPr>
          <w:lang w:val="en-IE"/>
        </w:rPr>
        <w:t>s</w:t>
      </w:r>
      <w:r>
        <w:rPr>
          <w:lang w:val="en-IE"/>
        </w:rPr>
        <w:t xml:space="preserve"> using the UBL syntax</w:t>
      </w:r>
      <w:r w:rsidR="00A85DFF">
        <w:rPr>
          <w:lang w:val="en-IE"/>
        </w:rPr>
        <w:t>)</w:t>
      </w:r>
      <w:r>
        <w:rPr>
          <w:lang w:val="en-IE"/>
        </w:rPr>
        <w:t>.</w:t>
      </w:r>
      <w:r w:rsidR="0060141A" w:rsidRPr="003301C9">
        <w:rPr>
          <w:lang w:val="en-IE"/>
        </w:rPr>
        <w:t xml:space="preserve">The Publications Office </w:t>
      </w:r>
      <w:r w:rsidR="0060141A">
        <w:rPr>
          <w:lang w:val="en-IE"/>
        </w:rPr>
        <w:t xml:space="preserve">will focus on a first phase on </w:t>
      </w:r>
      <w:r w:rsidR="0060141A" w:rsidRPr="003301C9">
        <w:rPr>
          <w:lang w:val="en-IE"/>
        </w:rPr>
        <w:t>the forms and notices foreseen in the eForms Implementing Regulation</w:t>
      </w:r>
      <w:r w:rsidR="0060141A">
        <w:rPr>
          <w:lang w:val="en-IE"/>
        </w:rPr>
        <w:t xml:space="preserve">. Once this work is completed the Publications Office will address further issues such as the use of eForms for situations not foreseen in the </w:t>
      </w:r>
      <w:r w:rsidR="00417D1D">
        <w:rPr>
          <w:lang w:val="en-IE"/>
        </w:rPr>
        <w:t>I</w:t>
      </w:r>
      <w:r w:rsidR="0060141A">
        <w:rPr>
          <w:lang w:val="en-IE"/>
        </w:rPr>
        <w:t xml:space="preserve">mplementing </w:t>
      </w:r>
      <w:r w:rsidR="00417D1D">
        <w:rPr>
          <w:lang w:val="en-IE"/>
        </w:rPr>
        <w:t>R</w:t>
      </w:r>
      <w:r w:rsidR="0060141A">
        <w:rPr>
          <w:lang w:val="en-IE"/>
        </w:rPr>
        <w:t>egulation or the relation between eForms and the ESPD</w:t>
      </w:r>
      <w:r w:rsidR="00B83132">
        <w:rPr>
          <w:rStyle w:val="FootnoteReference"/>
          <w:color w:val="0000FF"/>
          <w:u w:val="single"/>
          <w:lang w:val="en-IE"/>
        </w:rPr>
        <w:footnoteReference w:id="9"/>
      </w:r>
      <w:r w:rsidR="00417D1D">
        <w:rPr>
          <w:rStyle w:val="Hyperlink"/>
          <w:lang w:val="en-IE"/>
        </w:rPr>
        <w:t>.</w:t>
      </w:r>
      <w:r>
        <w:rPr>
          <w:lang w:val="en-IE"/>
        </w:rPr>
        <w:t xml:space="preserve"> </w:t>
      </w:r>
      <w:r w:rsidRPr="0059550D">
        <w:rPr>
          <w:lang w:val="en-IE"/>
        </w:rPr>
        <w:t xml:space="preserve"> </w:t>
      </w:r>
    </w:p>
    <w:p w14:paraId="226CA28E" w14:textId="77777777" w:rsidR="00331F24" w:rsidRPr="00026497" w:rsidRDefault="00331F24" w:rsidP="00214E3A">
      <w:pPr>
        <w:pStyle w:val="NoSpacing"/>
        <w:rPr>
          <w:lang w:val="en-IE"/>
        </w:rPr>
      </w:pPr>
    </w:p>
    <w:p w14:paraId="2DCCEBA5" w14:textId="12308522" w:rsidR="00245CA7" w:rsidRPr="0059550D" w:rsidRDefault="00FE6D6C" w:rsidP="00D3597F">
      <w:pPr>
        <w:pStyle w:val="Heading2"/>
        <w:rPr>
          <w:lang w:val="en-IE"/>
        </w:rPr>
      </w:pPr>
      <w:bookmarkStart w:id="7" w:name="_Toc25684063"/>
      <w:r w:rsidRPr="0059550D">
        <w:rPr>
          <w:lang w:val="en-IE"/>
        </w:rPr>
        <w:t>e</w:t>
      </w:r>
      <w:r w:rsidR="00AB4F6C" w:rsidRPr="0059550D">
        <w:rPr>
          <w:lang w:val="en-IE"/>
        </w:rPr>
        <w:t>Notification</w:t>
      </w:r>
      <w:bookmarkEnd w:id="7"/>
    </w:p>
    <w:p w14:paraId="19C1C350" w14:textId="28032B38" w:rsidR="00245CA7" w:rsidRPr="0059550D" w:rsidRDefault="00245CA7" w:rsidP="00214E3A">
      <w:pPr>
        <w:pStyle w:val="NoSpacing"/>
        <w:rPr>
          <w:lang w:val="en-IE"/>
        </w:rPr>
      </w:pPr>
    </w:p>
    <w:p w14:paraId="3BD74654" w14:textId="2D344183" w:rsidR="00245CA7" w:rsidRPr="0059550D" w:rsidRDefault="002E0AAE" w:rsidP="00214E3A">
      <w:pPr>
        <w:pStyle w:val="NoSpacing"/>
        <w:rPr>
          <w:lang w:val="en-IE"/>
        </w:rPr>
      </w:pPr>
      <w:r>
        <w:rPr>
          <w:lang w:val="en-IE"/>
        </w:rPr>
        <w:t>When running</w:t>
      </w:r>
      <w:r w:rsidR="00414B59" w:rsidRPr="0059550D">
        <w:rPr>
          <w:lang w:val="en-IE"/>
        </w:rPr>
        <w:t xml:space="preserve"> procurement procedures </w:t>
      </w:r>
      <w:r w:rsidR="00245CA7" w:rsidRPr="0059550D">
        <w:rPr>
          <w:lang w:val="en-IE"/>
        </w:rPr>
        <w:t xml:space="preserve">according to the </w:t>
      </w:r>
      <w:r w:rsidR="00414B59" w:rsidRPr="0059550D">
        <w:rPr>
          <w:lang w:val="en-IE"/>
        </w:rPr>
        <w:t>D</w:t>
      </w:r>
      <w:r w:rsidR="00245CA7" w:rsidRPr="0059550D">
        <w:rPr>
          <w:lang w:val="en-IE"/>
        </w:rPr>
        <w:t>irectives,</w:t>
      </w:r>
      <w:r w:rsidR="00414B59" w:rsidRPr="0059550D">
        <w:rPr>
          <w:lang w:val="en-IE"/>
        </w:rPr>
        <w:t xml:space="preserve"> and, voluntarily, for other procedures,</w:t>
      </w:r>
      <w:r w:rsidR="00245CA7" w:rsidRPr="0059550D">
        <w:rPr>
          <w:lang w:val="en-IE"/>
        </w:rPr>
        <w:t xml:space="preserve"> public buyers publish procurement notices on </w:t>
      </w:r>
      <w:hyperlink r:id="rId18" w:history="1">
        <w:r w:rsidR="00245CA7" w:rsidRPr="0059550D">
          <w:rPr>
            <w:rStyle w:val="Hyperlink"/>
            <w:lang w:val="en-IE"/>
          </w:rPr>
          <w:t>Tender Electronic Daily</w:t>
        </w:r>
      </w:hyperlink>
      <w:r w:rsidR="00245CA7" w:rsidRPr="0059550D">
        <w:rPr>
          <w:lang w:val="en-IE"/>
        </w:rPr>
        <w:t xml:space="preserve"> (TED)</w:t>
      </w:r>
      <w:r w:rsidR="00DF00FC" w:rsidRPr="0059550D">
        <w:rPr>
          <w:lang w:val="en-IE"/>
        </w:rPr>
        <w:t>. Annually, more than 500,000 notices are published</w:t>
      </w:r>
      <w:r w:rsidR="008C50B1">
        <w:rPr>
          <w:rStyle w:val="FootnoteReference"/>
          <w:lang w:val="en-IE"/>
        </w:rPr>
        <w:footnoteReference w:id="10"/>
      </w:r>
      <w:r w:rsidR="00DF00FC" w:rsidRPr="0059550D">
        <w:rPr>
          <w:lang w:val="en-IE"/>
        </w:rPr>
        <w:t xml:space="preserve"> on TED,</w:t>
      </w:r>
      <w:r w:rsidR="008C50B1">
        <w:rPr>
          <w:lang w:val="en-IE"/>
        </w:rPr>
        <w:t xml:space="preserve"> </w:t>
      </w:r>
      <w:r w:rsidR="008C50B1" w:rsidRPr="008C50B1">
        <w:rPr>
          <w:lang w:val="en-IE"/>
        </w:rPr>
        <w:t>including 210 thousand calls for tenders which are worth approximately €420 billion.</w:t>
      </w:r>
      <w:r w:rsidR="00245CA7" w:rsidRPr="0059550D">
        <w:rPr>
          <w:lang w:val="en-IE"/>
        </w:rPr>
        <w:t xml:space="preserve"> </w:t>
      </w:r>
      <w:r w:rsidR="00127BE6">
        <w:rPr>
          <w:lang w:val="en-IE"/>
        </w:rPr>
        <w:t xml:space="preserve">These notices are also accessed as open data by economic operators and other users on other portals. </w:t>
      </w:r>
    </w:p>
    <w:p w14:paraId="304D9688" w14:textId="77777777" w:rsidR="00245CA7" w:rsidRPr="0059550D" w:rsidRDefault="00245CA7" w:rsidP="00214E3A">
      <w:pPr>
        <w:pStyle w:val="NoSpacing"/>
        <w:rPr>
          <w:lang w:val="en-IE"/>
        </w:rPr>
      </w:pPr>
    </w:p>
    <w:p w14:paraId="2C2AADCC" w14:textId="72045B21" w:rsidR="00CA1A19" w:rsidRPr="0059550D" w:rsidRDefault="00245CA7" w:rsidP="00214E3A">
      <w:pPr>
        <w:pStyle w:val="NoSpacing"/>
        <w:rPr>
          <w:lang w:val="en-IE"/>
        </w:rPr>
      </w:pPr>
      <w:r w:rsidRPr="0059550D">
        <w:rPr>
          <w:lang w:val="en-IE"/>
        </w:rPr>
        <w:t xml:space="preserve">Across Member States, buyers have </w:t>
      </w:r>
      <w:r w:rsidR="000C1EF5" w:rsidRPr="0059550D">
        <w:rPr>
          <w:lang w:val="en-IE"/>
        </w:rPr>
        <w:t xml:space="preserve">three </w:t>
      </w:r>
      <w:r w:rsidRPr="0059550D">
        <w:rPr>
          <w:lang w:val="en-IE"/>
        </w:rPr>
        <w:t xml:space="preserve">ways to publish notices. </w:t>
      </w:r>
      <w:r w:rsidR="000C1EF5" w:rsidRPr="0059550D">
        <w:rPr>
          <w:lang w:val="en-IE"/>
        </w:rPr>
        <w:t>F</w:t>
      </w:r>
      <w:r w:rsidRPr="0059550D">
        <w:rPr>
          <w:lang w:val="en-IE"/>
        </w:rPr>
        <w:t xml:space="preserve">irst, they can use </w:t>
      </w:r>
      <w:hyperlink r:id="rId19" w:history="1">
        <w:r w:rsidRPr="0059550D">
          <w:rPr>
            <w:rStyle w:val="Hyperlink"/>
            <w:lang w:val="en-IE"/>
          </w:rPr>
          <w:t>eNotices</w:t>
        </w:r>
      </w:hyperlink>
      <w:r w:rsidRPr="0059550D">
        <w:rPr>
          <w:lang w:val="en-IE"/>
        </w:rPr>
        <w:t xml:space="preserve">, an on-line tool run by the Publications Office of the EU; second, they can use tools provided by one of the </w:t>
      </w:r>
      <w:hyperlink r:id="rId20" w:history="1">
        <w:r w:rsidRPr="0059550D">
          <w:rPr>
            <w:rStyle w:val="Hyperlink"/>
            <w:lang w:val="en-IE"/>
          </w:rPr>
          <w:t>TED eSenders</w:t>
        </w:r>
      </w:hyperlink>
      <w:r w:rsidRPr="0059550D">
        <w:rPr>
          <w:lang w:val="en-IE"/>
        </w:rPr>
        <w:t xml:space="preserve">; </w:t>
      </w:r>
      <w:r w:rsidRPr="00EB26DF">
        <w:rPr>
          <w:lang w:val="en-IE"/>
        </w:rPr>
        <w:t>third, they</w:t>
      </w:r>
      <w:r w:rsidRPr="0059550D">
        <w:rPr>
          <w:lang w:val="en-IE"/>
        </w:rPr>
        <w:t xml:space="preserve"> can use a tool operated by an organisation which sends its notices to a TED eSender</w:t>
      </w:r>
      <w:r w:rsidR="006B0074">
        <w:rPr>
          <w:lang w:val="en-IE"/>
        </w:rPr>
        <w:t>.</w:t>
      </w:r>
    </w:p>
    <w:p w14:paraId="62CA8C88" w14:textId="77777777" w:rsidR="00CA1A19" w:rsidRPr="0059550D" w:rsidRDefault="00CA1A19" w:rsidP="00214E3A">
      <w:pPr>
        <w:pStyle w:val="NoSpacing"/>
        <w:rPr>
          <w:lang w:val="en-IE"/>
        </w:rPr>
      </w:pPr>
    </w:p>
    <w:p w14:paraId="4CB1DD4E" w14:textId="42B8EC35" w:rsidR="00245CA7" w:rsidRPr="0059550D" w:rsidRDefault="00C223BA" w:rsidP="00214E3A">
      <w:pPr>
        <w:pStyle w:val="NoSpacing"/>
        <w:rPr>
          <w:lang w:val="en-IE"/>
        </w:rPr>
      </w:pPr>
      <w:r w:rsidRPr="006E5BFC">
        <w:rPr>
          <w:lang w:val="en-IE"/>
        </w:rPr>
        <w:t xml:space="preserve">As of 2019, approximately </w:t>
      </w:r>
      <w:r w:rsidR="006F4904" w:rsidRPr="006E5BFC">
        <w:rPr>
          <w:lang w:val="en-IE"/>
        </w:rPr>
        <w:t xml:space="preserve">30% </w:t>
      </w:r>
      <w:r w:rsidRPr="006E5BFC">
        <w:rPr>
          <w:lang w:val="en-IE"/>
        </w:rPr>
        <w:t>of notices</w:t>
      </w:r>
      <w:r w:rsidR="002838C0" w:rsidRPr="006E5BFC">
        <w:rPr>
          <w:rStyle w:val="FootnoteReference"/>
          <w:lang w:val="en-IE"/>
        </w:rPr>
        <w:footnoteReference w:id="11"/>
      </w:r>
      <w:r w:rsidRPr="006E5BFC">
        <w:rPr>
          <w:lang w:val="en-IE"/>
        </w:rPr>
        <w:t xml:space="preserve"> come from eNotices and the </w:t>
      </w:r>
      <w:r w:rsidR="006F4904" w:rsidRPr="006E5BFC">
        <w:rPr>
          <w:lang w:val="en-IE"/>
        </w:rPr>
        <w:t xml:space="preserve">rest </w:t>
      </w:r>
      <w:r w:rsidRPr="006E5BFC">
        <w:rPr>
          <w:lang w:val="en-IE"/>
        </w:rPr>
        <w:t>through eSenders. The</w:t>
      </w:r>
      <w:r w:rsidRPr="0059550D">
        <w:rPr>
          <w:lang w:val="en-IE"/>
        </w:rPr>
        <w:t xml:space="preserve"> proportion of notices coming through eNotices has been declining year to year, in line with the development of e</w:t>
      </w:r>
      <w:r w:rsidR="004A280E">
        <w:rPr>
          <w:lang w:val="en-IE"/>
        </w:rPr>
        <w:t>P</w:t>
      </w:r>
      <w:r w:rsidRPr="0059550D">
        <w:rPr>
          <w:lang w:val="en-IE"/>
        </w:rPr>
        <w:t xml:space="preserve">rocurement solutions in the Member States that are better tailored to national needs and </w:t>
      </w:r>
      <w:r w:rsidR="009C6B95">
        <w:rPr>
          <w:lang w:val="en-IE"/>
        </w:rPr>
        <w:t xml:space="preserve">better connected to </w:t>
      </w:r>
      <w:r w:rsidRPr="0059550D">
        <w:rPr>
          <w:lang w:val="en-IE"/>
        </w:rPr>
        <w:t>other national systems.</w:t>
      </w:r>
    </w:p>
    <w:p w14:paraId="7C9855F1" w14:textId="77777777" w:rsidR="00245CA7" w:rsidRPr="0059550D" w:rsidRDefault="00245CA7" w:rsidP="00214E3A">
      <w:pPr>
        <w:pStyle w:val="NoSpacing"/>
        <w:rPr>
          <w:lang w:val="en-IE"/>
        </w:rPr>
      </w:pPr>
    </w:p>
    <w:p w14:paraId="5E83DC8A" w14:textId="30F18D6E" w:rsidR="00245CA7" w:rsidRPr="0059550D" w:rsidRDefault="00FD01A5" w:rsidP="00214E3A">
      <w:pPr>
        <w:pStyle w:val="NoSpacing"/>
        <w:rPr>
          <w:lang w:val="en-IE"/>
        </w:rPr>
      </w:pPr>
      <w:r>
        <w:rPr>
          <w:lang w:val="en-IE"/>
        </w:rPr>
        <w:t>TED</w:t>
      </w:r>
      <w:r w:rsidRPr="0059550D">
        <w:rPr>
          <w:lang w:val="en-IE"/>
        </w:rPr>
        <w:t xml:space="preserve"> </w:t>
      </w:r>
      <w:r>
        <w:rPr>
          <w:lang w:val="en-IE"/>
        </w:rPr>
        <w:t>e</w:t>
      </w:r>
      <w:r w:rsidR="00245CA7" w:rsidRPr="0059550D">
        <w:rPr>
          <w:lang w:val="en-IE"/>
        </w:rPr>
        <w:t xml:space="preserve">Senders include national Official Journals, public or private bodies sending buyers' notices, and buyers directly sending large numbers of electronic notices themselves. Some provide their services through a single platform (e.g. a website), while others operate through software installed by each buyer. In some Member States, TED eSenders operate in a competitive environment, while elsewhere </w:t>
      </w:r>
      <w:r w:rsidR="006E2141">
        <w:rPr>
          <w:lang w:val="en-IE"/>
        </w:rPr>
        <w:t xml:space="preserve">a single public sector eSender is in place. </w:t>
      </w:r>
    </w:p>
    <w:p w14:paraId="7AFDF34E" w14:textId="77777777" w:rsidR="00245CA7" w:rsidRPr="0059550D" w:rsidRDefault="00245CA7" w:rsidP="00214E3A">
      <w:pPr>
        <w:pStyle w:val="NoSpacing"/>
        <w:rPr>
          <w:lang w:val="en-IE"/>
        </w:rPr>
      </w:pPr>
    </w:p>
    <w:p w14:paraId="50786066" w14:textId="4249ECB8" w:rsidR="00505807" w:rsidRPr="0059550D" w:rsidRDefault="00FD01A5" w:rsidP="00214E3A">
      <w:pPr>
        <w:pStyle w:val="NoSpacing"/>
        <w:rPr>
          <w:lang w:val="en-IE"/>
        </w:rPr>
      </w:pPr>
      <w:r>
        <w:rPr>
          <w:lang w:val="en-IE"/>
        </w:rPr>
        <w:t xml:space="preserve">TED </w:t>
      </w:r>
      <w:r w:rsidR="00505807" w:rsidRPr="0059550D">
        <w:rPr>
          <w:lang w:val="en-IE"/>
        </w:rPr>
        <w:t>e</w:t>
      </w:r>
      <w:r w:rsidR="00245CA7" w:rsidRPr="0059550D">
        <w:rPr>
          <w:lang w:val="en-IE"/>
        </w:rPr>
        <w:t xml:space="preserve">Senders play a crucial role in shaping users' experiences with </w:t>
      </w:r>
      <w:r w:rsidR="00505807" w:rsidRPr="0059550D">
        <w:rPr>
          <w:lang w:val="en-IE"/>
        </w:rPr>
        <w:t xml:space="preserve">notices – both in filling them in and reading them. </w:t>
      </w:r>
      <w:r w:rsidR="00515D49">
        <w:rPr>
          <w:lang w:val="en-IE"/>
        </w:rPr>
        <w:t>This is further discussed in section</w:t>
      </w:r>
      <w:r w:rsidR="006400AF">
        <w:rPr>
          <w:lang w:val="en-IE"/>
        </w:rPr>
        <w:t xml:space="preserve"> 4.1</w:t>
      </w:r>
      <w:r w:rsidR="00515D49">
        <w:rPr>
          <w:lang w:val="en-IE"/>
        </w:rPr>
        <w:t xml:space="preserve">, </w:t>
      </w:r>
      <w:r w:rsidR="00956143">
        <w:rPr>
          <w:lang w:val="en-IE"/>
        </w:rPr>
        <w:t xml:space="preserve">and </w:t>
      </w:r>
      <w:r w:rsidR="00515D49">
        <w:rPr>
          <w:lang w:val="en-IE"/>
        </w:rPr>
        <w:t xml:space="preserve">examples are given in </w:t>
      </w:r>
      <w:r w:rsidR="00515D49" w:rsidRPr="0059550D">
        <w:rPr>
          <w:lang w:val="en-IE"/>
        </w:rPr>
        <w:fldChar w:fldCharType="begin"/>
      </w:r>
      <w:r w:rsidR="00515D49" w:rsidRPr="0059550D">
        <w:rPr>
          <w:lang w:val="en-IE"/>
        </w:rPr>
        <w:instrText xml:space="preserve"> REF _Ref20163575 \h </w:instrText>
      </w:r>
      <w:r w:rsidR="00515D49" w:rsidRPr="0059550D">
        <w:rPr>
          <w:lang w:val="en-IE"/>
        </w:rPr>
      </w:r>
      <w:r w:rsidR="00515D49" w:rsidRPr="0059550D">
        <w:rPr>
          <w:lang w:val="en-IE"/>
        </w:rPr>
        <w:fldChar w:fldCharType="separate"/>
      </w:r>
      <w:r w:rsidR="00031242" w:rsidRPr="0059550D">
        <w:rPr>
          <w:lang w:val="en-IE"/>
        </w:rPr>
        <w:t xml:space="preserve">Annex I – Designing the user interface </w:t>
      </w:r>
      <w:r w:rsidR="00515D49" w:rsidRPr="0059550D">
        <w:rPr>
          <w:lang w:val="en-IE"/>
        </w:rPr>
        <w:fldChar w:fldCharType="end"/>
      </w:r>
      <w:r w:rsidR="00515D49">
        <w:rPr>
          <w:lang w:val="en-IE"/>
        </w:rPr>
        <w:t xml:space="preserve">. </w:t>
      </w:r>
    </w:p>
    <w:p w14:paraId="31BF9455" w14:textId="0A8D5059" w:rsidR="00A830A3" w:rsidRPr="0059550D" w:rsidRDefault="00A830A3" w:rsidP="00A830A3">
      <w:pPr>
        <w:pStyle w:val="Heading2"/>
        <w:rPr>
          <w:lang w:val="en-IE"/>
        </w:rPr>
      </w:pPr>
      <w:bookmarkStart w:id="8" w:name="_Ref20750392"/>
      <w:bookmarkStart w:id="9" w:name="_Toc25684064"/>
      <w:r w:rsidRPr="0059550D">
        <w:rPr>
          <w:lang w:val="en-IE"/>
        </w:rPr>
        <w:t>Users</w:t>
      </w:r>
      <w:bookmarkEnd w:id="8"/>
      <w:bookmarkEnd w:id="9"/>
    </w:p>
    <w:p w14:paraId="6A5026FE" w14:textId="4A15D450" w:rsidR="00F70DF2" w:rsidRPr="0059550D" w:rsidRDefault="00F70DF2" w:rsidP="00F70DF2">
      <w:pPr>
        <w:pStyle w:val="NoSpacing"/>
        <w:rPr>
          <w:lang w:val="en-IE"/>
        </w:rPr>
      </w:pPr>
    </w:p>
    <w:p w14:paraId="548D4E11" w14:textId="290B28FC" w:rsidR="004F20FE" w:rsidRPr="0059550D" w:rsidRDefault="00F70DF2" w:rsidP="00F70DF2">
      <w:pPr>
        <w:pStyle w:val="NoSpacing"/>
        <w:rPr>
          <w:lang w:val="en-IE"/>
        </w:rPr>
      </w:pPr>
      <w:r w:rsidRPr="0059550D">
        <w:rPr>
          <w:lang w:val="en-IE"/>
        </w:rPr>
        <w:t>The purpose of eForms is fulfil the needs of their users. Below, we summari</w:t>
      </w:r>
      <w:r w:rsidR="00F14A4C">
        <w:rPr>
          <w:lang w:val="en-IE"/>
        </w:rPr>
        <w:t>s</w:t>
      </w:r>
      <w:r w:rsidRPr="0059550D">
        <w:rPr>
          <w:lang w:val="en-IE"/>
        </w:rPr>
        <w:t xml:space="preserve">e </w:t>
      </w:r>
      <w:r w:rsidR="00C232DC">
        <w:rPr>
          <w:lang w:val="en-IE"/>
        </w:rPr>
        <w:t>t</w:t>
      </w:r>
      <w:r w:rsidRPr="0059550D">
        <w:rPr>
          <w:lang w:val="en-IE"/>
        </w:rPr>
        <w:t>he main</w:t>
      </w:r>
      <w:r w:rsidR="00956143">
        <w:rPr>
          <w:lang w:val="en-IE"/>
        </w:rPr>
        <w:t xml:space="preserve"> </w:t>
      </w:r>
      <w:r w:rsidRPr="0059550D">
        <w:rPr>
          <w:lang w:val="en-IE"/>
        </w:rPr>
        <w:t xml:space="preserve">categories </w:t>
      </w:r>
      <w:r w:rsidR="00956143">
        <w:rPr>
          <w:lang w:val="en-IE"/>
        </w:rPr>
        <w:t xml:space="preserve">of eForms users </w:t>
      </w:r>
      <w:r w:rsidRPr="0059550D">
        <w:rPr>
          <w:lang w:val="en-IE"/>
        </w:rPr>
        <w:t>and their needs.</w:t>
      </w:r>
      <w:r w:rsidR="00852836" w:rsidRPr="0059550D">
        <w:rPr>
          <w:lang w:val="en-IE"/>
        </w:rPr>
        <w:t xml:space="preserve"> </w:t>
      </w:r>
    </w:p>
    <w:p w14:paraId="1E2CE1BD" w14:textId="7BA50A51" w:rsidR="00D3597F" w:rsidRPr="0059550D" w:rsidRDefault="00706C6A">
      <w:pPr>
        <w:pStyle w:val="Heading3"/>
        <w:rPr>
          <w:lang w:val="en-IE"/>
        </w:rPr>
      </w:pPr>
      <w:bookmarkStart w:id="10" w:name="_Toc25684065"/>
      <w:r>
        <w:rPr>
          <w:lang w:val="en-IE"/>
        </w:rPr>
        <w:lastRenderedPageBreak/>
        <w:t>Economic operator</w:t>
      </w:r>
      <w:r w:rsidR="00517D1C" w:rsidRPr="0059550D">
        <w:rPr>
          <w:lang w:val="en-IE"/>
        </w:rPr>
        <w:t>s</w:t>
      </w:r>
      <w:bookmarkEnd w:id="10"/>
    </w:p>
    <w:p w14:paraId="3EDEDC3C" w14:textId="77777777" w:rsidR="004A4AA0" w:rsidRPr="0059550D" w:rsidRDefault="004A4AA0" w:rsidP="00214E3A">
      <w:pPr>
        <w:pStyle w:val="NoSpacing"/>
        <w:rPr>
          <w:lang w:val="en-IE"/>
        </w:rPr>
      </w:pPr>
    </w:p>
    <w:p w14:paraId="07723839" w14:textId="5FAD99AC" w:rsidR="005F2EA0" w:rsidRPr="0059550D" w:rsidRDefault="00671B29" w:rsidP="00A05A59">
      <w:pPr>
        <w:pStyle w:val="NoSpacing"/>
        <w:rPr>
          <w:lang w:val="en-IE"/>
        </w:rPr>
      </w:pPr>
      <w:r>
        <w:rPr>
          <w:lang w:val="en-IE"/>
        </w:rPr>
        <w:t>E</w:t>
      </w:r>
      <w:r w:rsidR="00706C6A">
        <w:rPr>
          <w:lang w:val="en-IE"/>
        </w:rPr>
        <w:t>conomic operator</w:t>
      </w:r>
      <w:r w:rsidR="00082A34" w:rsidRPr="0059550D">
        <w:rPr>
          <w:lang w:val="en-IE"/>
        </w:rPr>
        <w:t>s</w:t>
      </w:r>
      <w:r w:rsidR="00A05A59" w:rsidRPr="0059550D">
        <w:rPr>
          <w:lang w:val="en-IE"/>
        </w:rPr>
        <w:t xml:space="preserve"> </w:t>
      </w:r>
      <w:r>
        <w:rPr>
          <w:lang w:val="en-IE"/>
        </w:rPr>
        <w:t xml:space="preserve">read notices when </w:t>
      </w:r>
      <w:r w:rsidR="00A05A59" w:rsidRPr="00671B29">
        <w:rPr>
          <w:lang w:val="en-IE"/>
        </w:rPr>
        <w:t xml:space="preserve">looking for </w:t>
      </w:r>
      <w:r w:rsidR="00246AE2" w:rsidRPr="00671B29">
        <w:rPr>
          <w:lang w:val="en-IE"/>
        </w:rPr>
        <w:t>business opportunit</w:t>
      </w:r>
      <w:r w:rsidR="00A05A59" w:rsidRPr="00671B29">
        <w:rPr>
          <w:lang w:val="en-IE"/>
        </w:rPr>
        <w:t>ies</w:t>
      </w:r>
      <w:r w:rsidR="00A05A59" w:rsidRPr="0059550D">
        <w:rPr>
          <w:lang w:val="en-IE"/>
        </w:rPr>
        <w:t xml:space="preserve">, typically on TED. </w:t>
      </w:r>
      <w:r>
        <w:rPr>
          <w:lang w:val="en-IE"/>
        </w:rPr>
        <w:t xml:space="preserve">First, they identify the most relevant ones either by a </w:t>
      </w:r>
      <w:r w:rsidR="00A05A59" w:rsidRPr="0059550D">
        <w:rPr>
          <w:lang w:val="en-IE"/>
        </w:rPr>
        <w:t xml:space="preserve">search </w:t>
      </w:r>
      <w:r>
        <w:rPr>
          <w:lang w:val="en-IE"/>
        </w:rPr>
        <w:t xml:space="preserve">or through an automated notification, both of which are based on specified search criteria. </w:t>
      </w:r>
      <w:r w:rsidR="00A05A59" w:rsidRPr="0059550D">
        <w:rPr>
          <w:lang w:val="en-IE"/>
        </w:rPr>
        <w:t xml:space="preserve">Most commonly, </w:t>
      </w:r>
      <w:r>
        <w:rPr>
          <w:lang w:val="en-IE"/>
        </w:rPr>
        <w:t xml:space="preserve">the criteria are </w:t>
      </w:r>
      <w:r w:rsidR="00A05A59" w:rsidRPr="0059550D">
        <w:rPr>
          <w:lang w:val="en-IE"/>
        </w:rPr>
        <w:t>full-text search</w:t>
      </w:r>
      <w:r>
        <w:rPr>
          <w:lang w:val="en-IE"/>
        </w:rPr>
        <w:t>es</w:t>
      </w:r>
      <w:r w:rsidR="00A05A59" w:rsidRPr="0059550D">
        <w:rPr>
          <w:lang w:val="en-IE"/>
        </w:rPr>
        <w:t xml:space="preserve"> </w:t>
      </w:r>
      <w:r>
        <w:rPr>
          <w:lang w:val="en-IE"/>
        </w:rPr>
        <w:t xml:space="preserve">or searches of </w:t>
      </w:r>
      <w:r w:rsidR="00A05A59" w:rsidRPr="0059550D">
        <w:rPr>
          <w:lang w:val="en-IE"/>
        </w:rPr>
        <w:t>structured data such as the Common Procurement Vocabulary (CPV)</w:t>
      </w:r>
      <w:r w:rsidR="002340B5" w:rsidRPr="0059550D">
        <w:rPr>
          <w:lang w:val="en-IE"/>
        </w:rPr>
        <w:t>,</w:t>
      </w:r>
      <w:r w:rsidR="00A05A59" w:rsidRPr="0059550D">
        <w:rPr>
          <w:lang w:val="en-IE"/>
        </w:rPr>
        <w:t xml:space="preserve"> place of performance</w:t>
      </w:r>
      <w:r w:rsidR="002340B5" w:rsidRPr="0059550D">
        <w:rPr>
          <w:lang w:val="en-IE"/>
        </w:rPr>
        <w:t xml:space="preserve"> and</w:t>
      </w:r>
      <w:r w:rsidR="00726E9B" w:rsidRPr="0059550D">
        <w:rPr>
          <w:lang w:val="en-IE"/>
        </w:rPr>
        <w:t>, in some countries</w:t>
      </w:r>
      <w:r w:rsidR="00A05A59" w:rsidRPr="0059550D">
        <w:rPr>
          <w:lang w:val="en-IE"/>
        </w:rPr>
        <w:t xml:space="preserve"> </w:t>
      </w:r>
      <w:r w:rsidR="00E351E5" w:rsidRPr="0059550D">
        <w:rPr>
          <w:lang w:val="en-IE"/>
        </w:rPr>
        <w:t xml:space="preserve">After having </w:t>
      </w:r>
      <w:r w:rsidR="00A41A30" w:rsidRPr="0059550D">
        <w:rPr>
          <w:lang w:val="en-IE"/>
        </w:rPr>
        <w:t xml:space="preserve">found interesting </w:t>
      </w:r>
      <w:r w:rsidR="00E54083">
        <w:rPr>
          <w:lang w:val="en-IE"/>
        </w:rPr>
        <w:t xml:space="preserve">contract </w:t>
      </w:r>
      <w:r w:rsidR="00E351E5" w:rsidRPr="0059550D">
        <w:rPr>
          <w:lang w:val="en-IE"/>
        </w:rPr>
        <w:t xml:space="preserve">notices, </w:t>
      </w:r>
      <w:r w:rsidR="00706C6A">
        <w:rPr>
          <w:lang w:val="en-IE"/>
        </w:rPr>
        <w:t>economic operator</w:t>
      </w:r>
      <w:r w:rsidR="00A41A30" w:rsidRPr="0059550D">
        <w:rPr>
          <w:lang w:val="en-IE"/>
        </w:rPr>
        <w:t xml:space="preserve">s </w:t>
      </w:r>
      <w:r w:rsidR="00783AB7" w:rsidRPr="0059550D">
        <w:rPr>
          <w:lang w:val="en-IE"/>
        </w:rPr>
        <w:t xml:space="preserve">read them </w:t>
      </w:r>
      <w:r w:rsidR="00A41A30" w:rsidRPr="0059550D">
        <w:rPr>
          <w:lang w:val="en-IE"/>
        </w:rPr>
        <w:t xml:space="preserve">and </w:t>
      </w:r>
      <w:r w:rsidR="00783AB7" w:rsidRPr="0059550D">
        <w:rPr>
          <w:lang w:val="en-IE"/>
        </w:rPr>
        <w:t>decide whether to spend time going through the procurement documents and, ultimately, submitting tenders.</w:t>
      </w:r>
      <w:r w:rsidR="002340B5" w:rsidRPr="0059550D">
        <w:rPr>
          <w:lang w:val="en-IE"/>
        </w:rPr>
        <w:t xml:space="preserve"> </w:t>
      </w:r>
    </w:p>
    <w:p w14:paraId="2064DA4C" w14:textId="77777777" w:rsidR="005F2EA0" w:rsidRPr="0059550D" w:rsidRDefault="005F2EA0" w:rsidP="00A05A59">
      <w:pPr>
        <w:pStyle w:val="NoSpacing"/>
        <w:rPr>
          <w:lang w:val="en-IE"/>
        </w:rPr>
      </w:pPr>
    </w:p>
    <w:p w14:paraId="1E3F827E" w14:textId="21ED4C07" w:rsidR="00A05A59" w:rsidRPr="0059550D" w:rsidRDefault="002340B5" w:rsidP="00A05A59">
      <w:pPr>
        <w:pStyle w:val="NoSpacing"/>
        <w:rPr>
          <w:lang w:val="en-IE"/>
        </w:rPr>
      </w:pPr>
      <w:r w:rsidRPr="0059550D">
        <w:rPr>
          <w:lang w:val="en-IE"/>
        </w:rPr>
        <w:t xml:space="preserve">Consequently, </w:t>
      </w:r>
      <w:r w:rsidR="005F2EA0" w:rsidRPr="0059550D">
        <w:rPr>
          <w:lang w:val="en-IE"/>
        </w:rPr>
        <w:t xml:space="preserve">notices need to have sufficient information to allow accurate search and </w:t>
      </w:r>
      <w:r w:rsidR="00AB4E97">
        <w:rPr>
          <w:lang w:val="en-IE"/>
        </w:rPr>
        <w:t xml:space="preserve">taking </w:t>
      </w:r>
      <w:r w:rsidR="00FF5912" w:rsidRPr="0059550D">
        <w:rPr>
          <w:lang w:val="en-IE"/>
        </w:rPr>
        <w:t xml:space="preserve">a decision on whether to invest further </w:t>
      </w:r>
      <w:r w:rsidR="00AB4E97">
        <w:rPr>
          <w:lang w:val="en-IE"/>
        </w:rPr>
        <w:t xml:space="preserve">time </w:t>
      </w:r>
      <w:r w:rsidR="00FF5912" w:rsidRPr="0059550D">
        <w:rPr>
          <w:lang w:val="en-IE"/>
        </w:rPr>
        <w:t>or not</w:t>
      </w:r>
      <w:r w:rsidR="009B6DE0">
        <w:rPr>
          <w:lang w:val="en-IE"/>
        </w:rPr>
        <w:t>,</w:t>
      </w:r>
      <w:r w:rsidR="00FF5912" w:rsidRPr="0059550D">
        <w:rPr>
          <w:lang w:val="en-IE"/>
        </w:rPr>
        <w:t xml:space="preserve"> esp</w:t>
      </w:r>
      <w:r w:rsidR="009B6DE0">
        <w:rPr>
          <w:lang w:val="en-IE"/>
        </w:rPr>
        <w:t>ecially</w:t>
      </w:r>
      <w:r w:rsidR="00FF5912" w:rsidRPr="0059550D">
        <w:rPr>
          <w:lang w:val="en-IE"/>
        </w:rPr>
        <w:t xml:space="preserve"> if this requires translating the procurement documents. The automated translation services offered by TED</w:t>
      </w:r>
      <w:r w:rsidR="00FF5912" w:rsidRPr="0059550D">
        <w:rPr>
          <w:rStyle w:val="FootnoteReference"/>
          <w:lang w:val="en-IE"/>
        </w:rPr>
        <w:footnoteReference w:id="12"/>
      </w:r>
      <w:r w:rsidR="00FF5912" w:rsidRPr="0059550D">
        <w:rPr>
          <w:lang w:val="en-IE"/>
        </w:rPr>
        <w:t xml:space="preserve"> are invaluable </w:t>
      </w:r>
      <w:r w:rsidR="009B6DE0">
        <w:rPr>
          <w:lang w:val="en-IE"/>
        </w:rPr>
        <w:t>to identify</w:t>
      </w:r>
      <w:r w:rsidR="00E40BC0">
        <w:rPr>
          <w:lang w:val="en-IE"/>
        </w:rPr>
        <w:t xml:space="preserve"> relevant</w:t>
      </w:r>
      <w:r w:rsidR="00FF5912" w:rsidRPr="0059550D">
        <w:rPr>
          <w:lang w:val="en-IE"/>
        </w:rPr>
        <w:t xml:space="preserve"> business opportunities abroad. </w:t>
      </w:r>
    </w:p>
    <w:p w14:paraId="2CF05D2F" w14:textId="77777777" w:rsidR="00221F68" w:rsidRPr="0059550D" w:rsidRDefault="00221F68" w:rsidP="00214E3A">
      <w:pPr>
        <w:pStyle w:val="NoSpacing"/>
        <w:rPr>
          <w:lang w:val="en-IE"/>
        </w:rPr>
      </w:pPr>
    </w:p>
    <w:p w14:paraId="4E68E186" w14:textId="1606774B" w:rsidR="00246AE2" w:rsidRPr="0059550D" w:rsidRDefault="00B51C98" w:rsidP="00214E3A">
      <w:pPr>
        <w:pStyle w:val="NoSpacing"/>
        <w:rPr>
          <w:lang w:val="en-IE"/>
        </w:rPr>
      </w:pPr>
      <w:r>
        <w:rPr>
          <w:lang w:val="en-IE"/>
        </w:rPr>
        <w:t xml:space="preserve">There are two important </w:t>
      </w:r>
      <w:r w:rsidR="002F3BD3" w:rsidRPr="00B51C98">
        <w:rPr>
          <w:lang w:val="en-IE"/>
        </w:rPr>
        <w:t>variations</w:t>
      </w:r>
      <w:r>
        <w:rPr>
          <w:lang w:val="en-IE"/>
        </w:rPr>
        <w:t xml:space="preserve"> to the process described above</w:t>
      </w:r>
      <w:r w:rsidR="002F3BD3" w:rsidRPr="0059550D">
        <w:rPr>
          <w:lang w:val="en-IE"/>
        </w:rPr>
        <w:t xml:space="preserve">. </w:t>
      </w:r>
      <w:r w:rsidR="004E46CC" w:rsidRPr="0059550D">
        <w:rPr>
          <w:lang w:val="en-IE"/>
        </w:rPr>
        <w:t>First</w:t>
      </w:r>
      <w:r w:rsidR="002F3BD3" w:rsidRPr="0059550D">
        <w:rPr>
          <w:lang w:val="en-IE"/>
        </w:rPr>
        <w:t>, TED is not the only platform publishing procurement notices. Almost all EU countries also have a single national publication platform</w:t>
      </w:r>
      <w:r w:rsidR="00387974">
        <w:rPr>
          <w:lang w:val="en-IE"/>
        </w:rPr>
        <w:t>, and some others operating at the regional and/or sectoral level</w:t>
      </w:r>
      <w:r w:rsidR="002F3BD3" w:rsidRPr="0059550D">
        <w:rPr>
          <w:lang w:val="en-IE"/>
        </w:rPr>
        <w:t xml:space="preserve">. One of the important </w:t>
      </w:r>
      <w:r w:rsidR="001E5D7C">
        <w:rPr>
          <w:lang w:val="en-IE"/>
        </w:rPr>
        <w:t xml:space="preserve">goals in </w:t>
      </w:r>
      <w:r w:rsidR="002F3BD3" w:rsidRPr="0059550D">
        <w:rPr>
          <w:lang w:val="en-IE"/>
        </w:rPr>
        <w:t>EU eNotification is increasing the number of national publishers that re-publish notices from TED</w:t>
      </w:r>
      <w:r w:rsidR="00E40BC0">
        <w:rPr>
          <w:lang w:val="en-IE"/>
        </w:rPr>
        <w:t>,</w:t>
      </w:r>
      <w:r w:rsidR="001E5D7C">
        <w:rPr>
          <w:lang w:val="en-IE"/>
        </w:rPr>
        <w:t xml:space="preserve"> or use TED</w:t>
      </w:r>
      <w:r w:rsidR="001A603E">
        <w:rPr>
          <w:lang w:val="en-IE"/>
        </w:rPr>
        <w:t xml:space="preserve"> notices</w:t>
      </w:r>
      <w:r w:rsidR="001E5D7C">
        <w:rPr>
          <w:lang w:val="en-IE"/>
        </w:rPr>
        <w:t xml:space="preserve"> directly </w:t>
      </w:r>
      <w:r w:rsidR="002F3BD3" w:rsidRPr="0059550D">
        <w:rPr>
          <w:lang w:val="en-IE"/>
        </w:rPr>
        <w:t xml:space="preserve">(see </w:t>
      </w:r>
      <w:r w:rsidR="001E5D7C">
        <w:rPr>
          <w:lang w:val="en-IE"/>
        </w:rPr>
        <w:t>the discussion in</w:t>
      </w:r>
      <w:r w:rsidR="0036593C">
        <w:rPr>
          <w:lang w:val="en-IE"/>
        </w:rPr>
        <w:t xml:space="preserve"> section 4.2) </w:t>
      </w:r>
      <w:r w:rsidR="00E34CEC">
        <w:rPr>
          <w:lang w:val="en-IE"/>
        </w:rPr>
        <w:t>R</w:t>
      </w:r>
      <w:r w:rsidR="00886952" w:rsidRPr="0059550D">
        <w:rPr>
          <w:lang w:val="en-IE"/>
        </w:rPr>
        <w:t xml:space="preserve">e-publishing notices </w:t>
      </w:r>
      <w:r w:rsidR="00E40BC0">
        <w:rPr>
          <w:lang w:val="en-IE"/>
        </w:rPr>
        <w:t>on</w:t>
      </w:r>
      <w:r w:rsidR="000158C2">
        <w:rPr>
          <w:lang w:val="en-IE"/>
        </w:rPr>
        <w:t xml:space="preserve"> the </w:t>
      </w:r>
      <w:r w:rsidR="00886952" w:rsidRPr="0059550D">
        <w:rPr>
          <w:lang w:val="en-IE"/>
        </w:rPr>
        <w:t xml:space="preserve">national </w:t>
      </w:r>
      <w:r w:rsidR="000158C2">
        <w:rPr>
          <w:lang w:val="en-IE"/>
        </w:rPr>
        <w:t xml:space="preserve">portals </w:t>
      </w:r>
      <w:r w:rsidR="00886952" w:rsidRPr="0059550D">
        <w:rPr>
          <w:lang w:val="en-IE"/>
        </w:rPr>
        <w:t>increase</w:t>
      </w:r>
      <w:r w:rsidR="000158C2">
        <w:rPr>
          <w:lang w:val="en-IE"/>
        </w:rPr>
        <w:t xml:space="preserve">s the chance </w:t>
      </w:r>
      <w:r w:rsidR="00886952" w:rsidRPr="0059550D">
        <w:rPr>
          <w:lang w:val="en-IE"/>
        </w:rPr>
        <w:t xml:space="preserve">that </w:t>
      </w:r>
      <w:r w:rsidR="00E34CEC">
        <w:rPr>
          <w:lang w:val="en-IE"/>
        </w:rPr>
        <w:t xml:space="preserve">economic operators </w:t>
      </w:r>
      <w:r w:rsidR="000158C2">
        <w:rPr>
          <w:lang w:val="en-IE"/>
        </w:rPr>
        <w:t>will consider submitting tenders for procedures in other EU</w:t>
      </w:r>
      <w:r w:rsidR="00E40BC0">
        <w:rPr>
          <w:lang w:val="en-IE"/>
        </w:rPr>
        <w:t xml:space="preserve"> countries</w:t>
      </w:r>
      <w:r w:rsidR="000158C2">
        <w:rPr>
          <w:lang w:val="en-IE"/>
        </w:rPr>
        <w:t>.</w:t>
      </w:r>
    </w:p>
    <w:p w14:paraId="3E289B42" w14:textId="7BAD5302" w:rsidR="004E46CC" w:rsidRPr="0059550D" w:rsidRDefault="004E46CC" w:rsidP="00214E3A">
      <w:pPr>
        <w:pStyle w:val="NoSpacing"/>
        <w:rPr>
          <w:lang w:val="en-IE"/>
        </w:rPr>
      </w:pPr>
    </w:p>
    <w:p w14:paraId="43566BC3" w14:textId="111B3C0F" w:rsidR="004E46CC" w:rsidRPr="0059550D" w:rsidRDefault="004E46CC" w:rsidP="00214E3A">
      <w:pPr>
        <w:pStyle w:val="NoSpacing"/>
        <w:rPr>
          <w:lang w:val="en-IE"/>
        </w:rPr>
      </w:pPr>
      <w:r w:rsidRPr="0059550D">
        <w:rPr>
          <w:lang w:val="en-IE"/>
        </w:rPr>
        <w:t xml:space="preserve">Second, many </w:t>
      </w:r>
      <w:r w:rsidR="00245131">
        <w:rPr>
          <w:lang w:val="en-IE"/>
        </w:rPr>
        <w:t>providers</w:t>
      </w:r>
      <w:r w:rsidRPr="0059550D">
        <w:rPr>
          <w:lang w:val="en-IE"/>
        </w:rPr>
        <w:t xml:space="preserve"> enrich and analyse procurement notices to be able to recommend companies the most relevant notices</w:t>
      </w:r>
      <w:r w:rsidR="0012505A" w:rsidRPr="0059550D">
        <w:rPr>
          <w:rStyle w:val="FootnoteReference"/>
          <w:lang w:val="en-IE"/>
        </w:rPr>
        <w:footnoteReference w:id="13"/>
      </w:r>
      <w:r w:rsidRPr="0059550D">
        <w:rPr>
          <w:lang w:val="en-IE"/>
        </w:rPr>
        <w:t xml:space="preserve">. </w:t>
      </w:r>
      <w:r w:rsidR="00223542" w:rsidRPr="0059550D">
        <w:rPr>
          <w:lang w:val="en-IE"/>
        </w:rPr>
        <w:t xml:space="preserve">This is done by having access to </w:t>
      </w:r>
      <w:r w:rsidR="00223542" w:rsidRPr="00A85DFF">
        <w:rPr>
          <w:lang w:val="en-IE"/>
        </w:rPr>
        <w:t>additional data</w:t>
      </w:r>
      <w:r w:rsidR="00223542" w:rsidRPr="0059550D">
        <w:rPr>
          <w:lang w:val="en-IE"/>
        </w:rPr>
        <w:t xml:space="preserve"> (e.g. more targeted information about a </w:t>
      </w:r>
      <w:r w:rsidR="002811F0">
        <w:rPr>
          <w:lang w:val="en-IE"/>
        </w:rPr>
        <w:t>company</w:t>
      </w:r>
      <w:r w:rsidR="002811F0" w:rsidRPr="0059550D">
        <w:rPr>
          <w:lang w:val="en-IE"/>
        </w:rPr>
        <w:t>’</w:t>
      </w:r>
      <w:r w:rsidR="00223542" w:rsidRPr="0059550D">
        <w:rPr>
          <w:lang w:val="en-IE"/>
        </w:rPr>
        <w:t xml:space="preserve">s offering) or by better algorithms, often including artificial intelligence (e.g. finding procedures that look similar to </w:t>
      </w:r>
      <w:r w:rsidR="00E40BC0">
        <w:rPr>
          <w:lang w:val="en-IE"/>
        </w:rPr>
        <w:t xml:space="preserve">a </w:t>
      </w:r>
      <w:r w:rsidR="00223542" w:rsidRPr="0059550D">
        <w:rPr>
          <w:lang w:val="en-IE"/>
        </w:rPr>
        <w:t xml:space="preserve">procedure </w:t>
      </w:r>
      <w:r w:rsidR="00E40BC0">
        <w:rPr>
          <w:lang w:val="en-IE"/>
        </w:rPr>
        <w:t xml:space="preserve">that </w:t>
      </w:r>
      <w:r w:rsidR="00223542" w:rsidRPr="0059550D">
        <w:rPr>
          <w:lang w:val="en-IE"/>
        </w:rPr>
        <w:t xml:space="preserve">a company already participated in and succeeded in). </w:t>
      </w:r>
    </w:p>
    <w:p w14:paraId="0A8A5377" w14:textId="0A26995B" w:rsidR="00082A34" w:rsidRPr="0059550D" w:rsidRDefault="00082A34" w:rsidP="00214E3A">
      <w:pPr>
        <w:pStyle w:val="NoSpacing"/>
        <w:rPr>
          <w:lang w:val="en-IE"/>
        </w:rPr>
      </w:pPr>
    </w:p>
    <w:p w14:paraId="2C956F7A" w14:textId="6ADA32C3" w:rsidR="00934B98" w:rsidRDefault="00934B98" w:rsidP="00214E3A">
      <w:pPr>
        <w:pStyle w:val="NoSpacing"/>
        <w:rPr>
          <w:lang w:val="en-IE"/>
        </w:rPr>
      </w:pPr>
      <w:r>
        <w:rPr>
          <w:lang w:val="en-IE"/>
        </w:rPr>
        <w:t>Furthermore, b</w:t>
      </w:r>
      <w:r w:rsidR="00742CC2" w:rsidRPr="0059550D">
        <w:rPr>
          <w:lang w:val="en-IE"/>
        </w:rPr>
        <w:t xml:space="preserve">eyond finding business opportunities, </w:t>
      </w:r>
      <w:r w:rsidR="00706C6A">
        <w:rPr>
          <w:lang w:val="en-IE"/>
        </w:rPr>
        <w:t>economic operator</w:t>
      </w:r>
      <w:r w:rsidR="00742CC2" w:rsidRPr="0059550D">
        <w:rPr>
          <w:lang w:val="en-IE"/>
        </w:rPr>
        <w:t xml:space="preserve">s use procurement data also for other purposes. </w:t>
      </w:r>
      <w:r w:rsidR="00AA0556" w:rsidRPr="0059550D">
        <w:rPr>
          <w:lang w:val="en-IE"/>
        </w:rPr>
        <w:t xml:space="preserve">First, </w:t>
      </w:r>
      <w:r>
        <w:rPr>
          <w:lang w:val="en-IE"/>
        </w:rPr>
        <w:t xml:space="preserve">by </w:t>
      </w:r>
      <w:r w:rsidRPr="0059550D">
        <w:rPr>
          <w:lang w:val="en-IE"/>
        </w:rPr>
        <w:t>analysing</w:t>
      </w:r>
      <w:r w:rsidR="00AA0556" w:rsidRPr="0059550D">
        <w:rPr>
          <w:lang w:val="en-IE"/>
        </w:rPr>
        <w:t xml:space="preserve"> procurement data</w:t>
      </w:r>
      <w:r>
        <w:rPr>
          <w:lang w:val="en-IE"/>
        </w:rPr>
        <w:t>, economic operators</w:t>
      </w:r>
      <w:r w:rsidR="00AA0556" w:rsidRPr="0059550D">
        <w:rPr>
          <w:lang w:val="en-IE"/>
        </w:rPr>
        <w:t xml:space="preserve"> </w:t>
      </w:r>
      <w:r>
        <w:rPr>
          <w:lang w:val="en-IE"/>
        </w:rPr>
        <w:t xml:space="preserve">can better </w:t>
      </w:r>
      <w:r w:rsidR="00665B54" w:rsidRPr="0059550D">
        <w:rPr>
          <w:lang w:val="en-IE"/>
        </w:rPr>
        <w:t xml:space="preserve">plan their resources. For example, analysing </w:t>
      </w:r>
      <w:r>
        <w:rPr>
          <w:lang w:val="en-IE"/>
        </w:rPr>
        <w:t xml:space="preserve">previous procurement </w:t>
      </w:r>
      <w:r w:rsidR="00E40BC0">
        <w:rPr>
          <w:lang w:val="en-IE"/>
        </w:rPr>
        <w:t xml:space="preserve">procedures </w:t>
      </w:r>
      <w:r w:rsidR="00665B54" w:rsidRPr="0059550D">
        <w:rPr>
          <w:lang w:val="en-IE"/>
        </w:rPr>
        <w:t xml:space="preserve">helps inform companies that it is likely that a public institution will republish a particular procedure in the coming months. That way, the company can ensure that it has sufficient resources both for preparing the tender and for executing </w:t>
      </w:r>
      <w:r>
        <w:rPr>
          <w:lang w:val="en-IE"/>
        </w:rPr>
        <w:t xml:space="preserve">it </w:t>
      </w:r>
      <w:r w:rsidR="00665B54" w:rsidRPr="0059550D">
        <w:rPr>
          <w:lang w:val="en-IE"/>
        </w:rPr>
        <w:t xml:space="preserve">– if it happens to win. </w:t>
      </w:r>
      <w:r w:rsidR="002A5EB5" w:rsidRPr="0059550D">
        <w:rPr>
          <w:lang w:val="en-IE"/>
        </w:rPr>
        <w:t xml:space="preserve">This includes available staff and skills as well as, for example, any long term investment in and management of machinery. </w:t>
      </w:r>
      <w:r w:rsidR="00665B54" w:rsidRPr="0059550D">
        <w:rPr>
          <w:lang w:val="en-IE"/>
        </w:rPr>
        <w:t xml:space="preserve">This </w:t>
      </w:r>
      <w:r w:rsidR="00E40BC0">
        <w:rPr>
          <w:lang w:val="en-IE"/>
        </w:rPr>
        <w:t>provides</w:t>
      </w:r>
      <w:r w:rsidR="00665B54" w:rsidRPr="0059550D">
        <w:rPr>
          <w:lang w:val="en-IE"/>
        </w:rPr>
        <w:t xml:space="preserve"> a competitive edge against its competitors. </w:t>
      </w:r>
    </w:p>
    <w:p w14:paraId="5718A42C" w14:textId="77777777" w:rsidR="00934B98" w:rsidRDefault="00934B98" w:rsidP="00214E3A">
      <w:pPr>
        <w:pStyle w:val="NoSpacing"/>
        <w:rPr>
          <w:lang w:val="en-IE"/>
        </w:rPr>
      </w:pPr>
    </w:p>
    <w:p w14:paraId="31A9C5E6" w14:textId="0779BB06" w:rsidR="00C14092" w:rsidRPr="0059550D" w:rsidRDefault="00330814" w:rsidP="00214E3A">
      <w:pPr>
        <w:pStyle w:val="NoSpacing"/>
        <w:rPr>
          <w:lang w:val="en-IE"/>
        </w:rPr>
      </w:pPr>
      <w:r>
        <w:rPr>
          <w:lang w:val="en-IE"/>
        </w:rPr>
        <w:t>Second</w:t>
      </w:r>
      <w:r w:rsidR="00742CC2" w:rsidRPr="0059550D">
        <w:rPr>
          <w:lang w:val="en-IE"/>
        </w:rPr>
        <w:t xml:space="preserve">, </w:t>
      </w:r>
      <w:r w:rsidR="008F4DE5">
        <w:rPr>
          <w:lang w:val="en-IE"/>
        </w:rPr>
        <w:t xml:space="preserve">economic operators can use </w:t>
      </w:r>
      <w:r w:rsidR="00934B98">
        <w:rPr>
          <w:lang w:val="en-IE"/>
        </w:rPr>
        <w:t xml:space="preserve">procurement </w:t>
      </w:r>
      <w:r w:rsidR="00742CC2" w:rsidRPr="0059550D">
        <w:rPr>
          <w:lang w:val="en-IE"/>
        </w:rPr>
        <w:t>data to find partners for consortia (</w:t>
      </w:r>
      <w:r w:rsidR="00934B98">
        <w:rPr>
          <w:lang w:val="en-IE"/>
        </w:rPr>
        <w:t xml:space="preserve">e.g. </w:t>
      </w:r>
      <w:r w:rsidR="00742CC2" w:rsidRPr="0059550D">
        <w:rPr>
          <w:lang w:val="en-IE"/>
        </w:rPr>
        <w:t xml:space="preserve">by finding companies that won similar contracts in the past).  </w:t>
      </w:r>
    </w:p>
    <w:p w14:paraId="6C6BC911" w14:textId="7F2851C5" w:rsidR="00D3597F" w:rsidRPr="0059550D" w:rsidRDefault="00D3597F" w:rsidP="00FC0EBB">
      <w:pPr>
        <w:pStyle w:val="Heading3"/>
        <w:rPr>
          <w:lang w:val="en-IE"/>
        </w:rPr>
      </w:pPr>
      <w:bookmarkStart w:id="11" w:name="_Toc25684066"/>
      <w:r w:rsidRPr="0059550D">
        <w:rPr>
          <w:lang w:val="en-IE"/>
        </w:rPr>
        <w:t>Buyers</w:t>
      </w:r>
      <w:bookmarkEnd w:id="11"/>
    </w:p>
    <w:p w14:paraId="698F07FC" w14:textId="2F322EFB" w:rsidR="00D3597F" w:rsidRPr="0059550D" w:rsidRDefault="00D3597F" w:rsidP="00214E3A">
      <w:pPr>
        <w:pStyle w:val="NoSpacing"/>
        <w:rPr>
          <w:lang w:val="en-IE"/>
        </w:rPr>
      </w:pPr>
    </w:p>
    <w:p w14:paraId="2890C354" w14:textId="56B1D653" w:rsidR="00D02FFD" w:rsidRPr="0059550D" w:rsidRDefault="00215FA3" w:rsidP="00D02FFD">
      <w:pPr>
        <w:pStyle w:val="NoSpacing"/>
        <w:rPr>
          <w:lang w:val="en-IE"/>
        </w:rPr>
      </w:pPr>
      <w:r>
        <w:rPr>
          <w:lang w:val="en-IE"/>
        </w:rPr>
        <w:t>Buyers publish notices</w:t>
      </w:r>
      <w:r w:rsidR="00D02FFD" w:rsidRPr="0059550D">
        <w:rPr>
          <w:lang w:val="en-IE"/>
        </w:rPr>
        <w:t xml:space="preserve"> on TED </w:t>
      </w:r>
      <w:r>
        <w:rPr>
          <w:lang w:val="en-IE"/>
        </w:rPr>
        <w:t xml:space="preserve">and elsewhere </w:t>
      </w:r>
      <w:r w:rsidR="00D02FFD" w:rsidRPr="0059550D">
        <w:rPr>
          <w:lang w:val="en-IE"/>
        </w:rPr>
        <w:t xml:space="preserve">to attract </w:t>
      </w:r>
      <w:r w:rsidR="00706C6A">
        <w:rPr>
          <w:lang w:val="en-IE"/>
        </w:rPr>
        <w:t>economic operator</w:t>
      </w:r>
      <w:r w:rsidR="00D02FFD" w:rsidRPr="0059550D">
        <w:rPr>
          <w:lang w:val="en-IE"/>
        </w:rPr>
        <w:t>s</w:t>
      </w:r>
      <w:r>
        <w:rPr>
          <w:lang w:val="en-IE"/>
        </w:rPr>
        <w:t xml:space="preserve"> and to inform the public on the way its money is spent</w:t>
      </w:r>
      <w:r w:rsidR="00D02FFD" w:rsidRPr="0059550D">
        <w:rPr>
          <w:lang w:val="en-IE"/>
        </w:rPr>
        <w:t xml:space="preserve">. With more </w:t>
      </w:r>
      <w:r w:rsidR="00706C6A">
        <w:rPr>
          <w:lang w:val="en-IE"/>
        </w:rPr>
        <w:t>economic operator</w:t>
      </w:r>
      <w:r w:rsidR="00D02FFD" w:rsidRPr="0059550D">
        <w:rPr>
          <w:lang w:val="en-IE"/>
        </w:rPr>
        <w:t>s competing, a buyer is more likely to get good quality for a good price.</w:t>
      </w:r>
      <w:r w:rsidR="000920D7" w:rsidRPr="0059550D">
        <w:rPr>
          <w:lang w:val="en-IE"/>
        </w:rPr>
        <w:t xml:space="preserve"> Buyers are also responsible for filling in the notice, which, if insufficiently digitalised (see section</w:t>
      </w:r>
      <w:r w:rsidR="00343150">
        <w:rPr>
          <w:lang w:val="en-IE"/>
        </w:rPr>
        <w:t xml:space="preserve"> 4.1</w:t>
      </w:r>
      <w:r w:rsidR="000920D7" w:rsidRPr="0059550D">
        <w:rPr>
          <w:lang w:val="en-IE"/>
        </w:rPr>
        <w:t xml:space="preserve"> on prefilling notices) can cause significant administrative </w:t>
      </w:r>
      <w:r w:rsidR="000920D7" w:rsidRPr="0059550D">
        <w:rPr>
          <w:lang w:val="en-IE"/>
        </w:rPr>
        <w:lastRenderedPageBreak/>
        <w:t xml:space="preserve">burden. </w:t>
      </w:r>
      <w:r w:rsidR="00F03425" w:rsidRPr="0059550D">
        <w:rPr>
          <w:lang w:val="en-IE"/>
        </w:rPr>
        <w:t>In some Member States, buyers outsource the filling in of notices to entities</w:t>
      </w:r>
      <w:r w:rsidR="00245131">
        <w:rPr>
          <w:lang w:val="en-IE"/>
        </w:rPr>
        <w:t xml:space="preserve"> </w:t>
      </w:r>
      <w:r w:rsidR="00F03425" w:rsidRPr="0059550D">
        <w:rPr>
          <w:lang w:val="en-IE"/>
        </w:rPr>
        <w:t>specialize</w:t>
      </w:r>
      <w:r w:rsidR="00245131">
        <w:rPr>
          <w:lang w:val="en-IE"/>
        </w:rPr>
        <w:t>d</w:t>
      </w:r>
      <w:r w:rsidR="00F03425" w:rsidRPr="0059550D">
        <w:rPr>
          <w:lang w:val="en-IE"/>
        </w:rPr>
        <w:t xml:space="preserve"> in this task (e.g. by knowing well the CPV codes, </w:t>
      </w:r>
      <w:r w:rsidR="00E40BC0">
        <w:rPr>
          <w:lang w:val="en-IE"/>
        </w:rPr>
        <w:t>or</w:t>
      </w:r>
      <w:r w:rsidR="00D858BE" w:rsidRPr="0059550D">
        <w:rPr>
          <w:lang w:val="en-IE"/>
        </w:rPr>
        <w:t xml:space="preserve"> how to write simple business-friendly texts without jargon)</w:t>
      </w:r>
      <w:r w:rsidR="00F03425" w:rsidRPr="0059550D">
        <w:rPr>
          <w:lang w:val="en-IE"/>
        </w:rPr>
        <w:t>.</w:t>
      </w:r>
    </w:p>
    <w:p w14:paraId="6D3D1C3A" w14:textId="165E7117" w:rsidR="00056987" w:rsidRPr="0059550D" w:rsidRDefault="00056987" w:rsidP="00D02FFD">
      <w:pPr>
        <w:pStyle w:val="NoSpacing"/>
        <w:rPr>
          <w:lang w:val="en-IE"/>
        </w:rPr>
      </w:pPr>
    </w:p>
    <w:p w14:paraId="6D71BE71" w14:textId="5323959E" w:rsidR="00330814" w:rsidRDefault="00056987" w:rsidP="00616FB3">
      <w:pPr>
        <w:pStyle w:val="NoSpacing"/>
        <w:rPr>
          <w:lang w:val="en-IE"/>
        </w:rPr>
      </w:pPr>
      <w:r w:rsidRPr="0059550D">
        <w:rPr>
          <w:lang w:val="en-IE"/>
        </w:rPr>
        <w:t xml:space="preserve">Beyond </w:t>
      </w:r>
      <w:r w:rsidR="00616FB3" w:rsidRPr="0059550D">
        <w:rPr>
          <w:lang w:val="en-IE"/>
        </w:rPr>
        <w:t xml:space="preserve">attracting businesses, buyers benefit from notice data in several other ways. First, they do </w:t>
      </w:r>
      <w:r w:rsidR="00616FB3" w:rsidRPr="00BB5028">
        <w:rPr>
          <w:lang w:val="en-IE"/>
        </w:rPr>
        <w:t>market analysis</w:t>
      </w:r>
      <w:r w:rsidR="00616FB3" w:rsidRPr="0059550D">
        <w:rPr>
          <w:lang w:val="en-IE"/>
        </w:rPr>
        <w:t xml:space="preserve"> based on previous</w:t>
      </w:r>
      <w:r w:rsidR="00BB5028">
        <w:rPr>
          <w:lang w:val="en-IE"/>
        </w:rPr>
        <w:t>ly</w:t>
      </w:r>
      <w:r w:rsidR="00616FB3" w:rsidRPr="0059550D">
        <w:rPr>
          <w:lang w:val="en-IE"/>
        </w:rPr>
        <w:t xml:space="preserve"> awarded contracts. This includes answering questions such as </w:t>
      </w:r>
      <w:r w:rsidR="0006770B">
        <w:rPr>
          <w:lang w:val="en-IE"/>
        </w:rPr>
        <w:t>“</w:t>
      </w:r>
      <w:r w:rsidR="00CE3C91" w:rsidRPr="0059550D">
        <w:rPr>
          <w:lang w:val="en-IE"/>
        </w:rPr>
        <w:t xml:space="preserve">what can the market </w:t>
      </w:r>
      <w:r w:rsidR="00BB5028">
        <w:rPr>
          <w:lang w:val="en-IE"/>
        </w:rPr>
        <w:t xml:space="preserve">realistically </w:t>
      </w:r>
      <w:r w:rsidR="00CE3C91" w:rsidRPr="0059550D">
        <w:rPr>
          <w:lang w:val="en-IE"/>
        </w:rPr>
        <w:t>offer</w:t>
      </w:r>
      <w:r w:rsidR="0006770B">
        <w:rPr>
          <w:lang w:val="en-IE"/>
        </w:rPr>
        <w:t xml:space="preserve">?”, </w:t>
      </w:r>
      <w:r w:rsidR="00312864">
        <w:rPr>
          <w:lang w:val="en-IE"/>
        </w:rPr>
        <w:t>“shall we use an innovation partnership</w:t>
      </w:r>
      <w:r w:rsidR="00312864">
        <w:rPr>
          <w:rStyle w:val="FootnoteReference"/>
          <w:lang w:val="en-IE"/>
        </w:rPr>
        <w:footnoteReference w:id="14"/>
      </w:r>
      <w:r w:rsidR="00312864">
        <w:rPr>
          <w:lang w:val="en-IE"/>
        </w:rPr>
        <w:t xml:space="preserve">?” </w:t>
      </w:r>
      <w:r w:rsidR="0006770B">
        <w:rPr>
          <w:lang w:val="en-IE"/>
        </w:rPr>
        <w:t>“what prices should we expect?”, “do we need to promote our procedure more?”</w:t>
      </w:r>
      <w:r w:rsidR="00616FB3" w:rsidRPr="0059550D">
        <w:rPr>
          <w:lang w:val="en-IE"/>
        </w:rPr>
        <w:t xml:space="preserve"> </w:t>
      </w:r>
      <w:r w:rsidR="0006770B">
        <w:rPr>
          <w:lang w:val="en-IE"/>
        </w:rPr>
        <w:t>and</w:t>
      </w:r>
      <w:r w:rsidR="00616FB3" w:rsidRPr="0059550D">
        <w:rPr>
          <w:lang w:val="en-IE"/>
        </w:rPr>
        <w:t xml:space="preserve"> </w:t>
      </w:r>
      <w:r w:rsidR="0006770B">
        <w:rPr>
          <w:lang w:val="en-IE"/>
        </w:rPr>
        <w:t>“</w:t>
      </w:r>
      <w:r w:rsidR="00616FB3" w:rsidRPr="0059550D">
        <w:rPr>
          <w:lang w:val="en-IE"/>
        </w:rPr>
        <w:t xml:space="preserve">who can we invite </w:t>
      </w:r>
      <w:r w:rsidR="0006770B">
        <w:rPr>
          <w:lang w:val="en-IE"/>
        </w:rPr>
        <w:t xml:space="preserve">for our </w:t>
      </w:r>
      <w:r w:rsidR="00616FB3" w:rsidRPr="0059550D">
        <w:rPr>
          <w:lang w:val="en-IE"/>
        </w:rPr>
        <w:t>negotiated procedures</w:t>
      </w:r>
      <w:r w:rsidR="0006770B">
        <w:rPr>
          <w:lang w:val="en-IE"/>
        </w:rPr>
        <w:t>?”</w:t>
      </w:r>
      <w:r w:rsidR="00616FB3" w:rsidRPr="0059550D">
        <w:rPr>
          <w:lang w:val="en-IE"/>
        </w:rPr>
        <w:t>.</w:t>
      </w:r>
      <w:r w:rsidR="00CE3C91" w:rsidRPr="0059550D">
        <w:rPr>
          <w:lang w:val="en-IE"/>
        </w:rPr>
        <w:t xml:space="preserve"> </w:t>
      </w:r>
    </w:p>
    <w:p w14:paraId="68AD755F" w14:textId="77777777" w:rsidR="00330814" w:rsidRDefault="00330814" w:rsidP="00616FB3">
      <w:pPr>
        <w:pStyle w:val="NoSpacing"/>
        <w:rPr>
          <w:lang w:val="en-IE"/>
        </w:rPr>
      </w:pPr>
    </w:p>
    <w:p w14:paraId="72FC69D2" w14:textId="116C6D74" w:rsidR="00A026AE" w:rsidRDefault="006E1DC0" w:rsidP="00616FB3">
      <w:pPr>
        <w:pStyle w:val="NoSpacing"/>
        <w:rPr>
          <w:lang w:val="en-IE"/>
        </w:rPr>
      </w:pPr>
      <w:r>
        <w:rPr>
          <w:lang w:val="en-IE"/>
        </w:rPr>
        <w:t>Second</w:t>
      </w:r>
      <w:r w:rsidR="008107CB" w:rsidRPr="0059550D">
        <w:rPr>
          <w:lang w:val="en-IE"/>
        </w:rPr>
        <w:t xml:space="preserve">, </w:t>
      </w:r>
      <w:r w:rsidR="006F68C4" w:rsidRPr="0059550D">
        <w:rPr>
          <w:lang w:val="en-IE"/>
        </w:rPr>
        <w:t xml:space="preserve">learning from </w:t>
      </w:r>
      <w:r w:rsidR="008A3301" w:rsidRPr="0059550D">
        <w:rPr>
          <w:lang w:val="en-IE"/>
        </w:rPr>
        <w:t>past experience</w:t>
      </w:r>
      <w:r w:rsidR="006F68C4" w:rsidRPr="0059550D">
        <w:rPr>
          <w:lang w:val="en-IE"/>
        </w:rPr>
        <w:t xml:space="preserve"> is key for </w:t>
      </w:r>
      <w:r w:rsidR="00A026AE">
        <w:rPr>
          <w:lang w:val="en-IE"/>
        </w:rPr>
        <w:t xml:space="preserve">improving the </w:t>
      </w:r>
      <w:r w:rsidR="006F68C4" w:rsidRPr="0059550D">
        <w:rPr>
          <w:lang w:val="en-IE"/>
        </w:rPr>
        <w:t>buyers</w:t>
      </w:r>
      <w:r w:rsidR="00A026AE">
        <w:rPr>
          <w:lang w:val="en-IE"/>
        </w:rPr>
        <w:t>’ professionalism</w:t>
      </w:r>
      <w:r w:rsidR="006F68C4" w:rsidRPr="0059550D">
        <w:rPr>
          <w:lang w:val="en-IE"/>
        </w:rPr>
        <w:t>.</w:t>
      </w:r>
      <w:r w:rsidR="00035A3C" w:rsidRPr="0059550D">
        <w:rPr>
          <w:lang w:val="en-IE"/>
        </w:rPr>
        <w:t xml:space="preserve"> </w:t>
      </w:r>
      <w:r w:rsidR="00A026AE">
        <w:rPr>
          <w:lang w:val="en-IE"/>
        </w:rPr>
        <w:t xml:space="preserve">Data helps learning in many ways: from </w:t>
      </w:r>
      <w:r w:rsidR="008A3301" w:rsidRPr="0059550D">
        <w:rPr>
          <w:lang w:val="en-IE"/>
        </w:rPr>
        <w:t xml:space="preserve">finding procedures </w:t>
      </w:r>
      <w:r w:rsidR="00A026AE">
        <w:rPr>
          <w:lang w:val="en-IE"/>
        </w:rPr>
        <w:t xml:space="preserve">and documents that can be reused or taken </w:t>
      </w:r>
      <w:r w:rsidR="008A3301" w:rsidRPr="0059550D">
        <w:rPr>
          <w:lang w:val="en-IE"/>
        </w:rPr>
        <w:t xml:space="preserve">as inspiration, </w:t>
      </w:r>
      <w:r w:rsidR="00A026AE">
        <w:rPr>
          <w:lang w:val="en-IE"/>
        </w:rPr>
        <w:t xml:space="preserve">to contacting and sharing practices </w:t>
      </w:r>
      <w:r w:rsidR="008A3301" w:rsidRPr="0059550D">
        <w:rPr>
          <w:lang w:val="en-IE"/>
        </w:rPr>
        <w:t>with the people who r</w:t>
      </w:r>
      <w:r w:rsidR="002811F0">
        <w:rPr>
          <w:lang w:val="en-IE"/>
        </w:rPr>
        <w:t>a</w:t>
      </w:r>
      <w:r w:rsidR="008A3301" w:rsidRPr="0059550D">
        <w:rPr>
          <w:lang w:val="en-IE"/>
        </w:rPr>
        <w:t xml:space="preserve">n </w:t>
      </w:r>
      <w:r w:rsidR="00A026AE">
        <w:rPr>
          <w:lang w:val="en-IE"/>
        </w:rPr>
        <w:t>the procedures</w:t>
      </w:r>
      <w:r w:rsidR="008A3301" w:rsidRPr="0059550D">
        <w:rPr>
          <w:lang w:val="en-IE"/>
        </w:rPr>
        <w:t xml:space="preserve">. This concerns drafting better procurement documents as well as notices, reusing award criteria and selection criteria, etc. </w:t>
      </w:r>
      <w:r w:rsidR="00716B06">
        <w:rPr>
          <w:lang w:val="en-IE"/>
        </w:rPr>
        <w:t>M</w:t>
      </w:r>
      <w:r w:rsidR="00770AFA" w:rsidRPr="0059550D">
        <w:rPr>
          <w:lang w:val="en-IE"/>
        </w:rPr>
        <w:t>ore sophisticated analyses can answer questions such as “What types of award criteria / selection criteria / CPV codes / description in not</w:t>
      </w:r>
      <w:r w:rsidR="001F4459" w:rsidRPr="0059550D">
        <w:rPr>
          <w:lang w:val="en-IE"/>
        </w:rPr>
        <w:t>i</w:t>
      </w:r>
      <w:r w:rsidR="00770AFA" w:rsidRPr="0059550D">
        <w:rPr>
          <w:lang w:val="en-IE"/>
        </w:rPr>
        <w:t xml:space="preserve">ces lead to a higher number of submitted tenders?” </w:t>
      </w:r>
    </w:p>
    <w:p w14:paraId="33B5FAC7" w14:textId="77777777" w:rsidR="00A026AE" w:rsidRDefault="00A026AE" w:rsidP="00616FB3">
      <w:pPr>
        <w:pStyle w:val="NoSpacing"/>
        <w:rPr>
          <w:lang w:val="en-IE"/>
        </w:rPr>
      </w:pPr>
    </w:p>
    <w:p w14:paraId="32A2EF9A" w14:textId="1120D5C7" w:rsidR="006E1DC0" w:rsidRDefault="006E1DC0" w:rsidP="00616FB3">
      <w:pPr>
        <w:pStyle w:val="NoSpacing"/>
        <w:rPr>
          <w:lang w:val="en-IE"/>
        </w:rPr>
      </w:pPr>
      <w:r>
        <w:rPr>
          <w:lang w:val="en-IE"/>
        </w:rPr>
        <w:t>Third</w:t>
      </w:r>
      <w:r w:rsidRPr="0059550D">
        <w:rPr>
          <w:lang w:val="en-IE"/>
        </w:rPr>
        <w:t xml:space="preserve">, notices give an overview of who is buying what, and thus can be used to find partners for future </w:t>
      </w:r>
      <w:r w:rsidRPr="006E1DC0">
        <w:rPr>
          <w:lang w:val="en-IE"/>
        </w:rPr>
        <w:t>joint procurement</w:t>
      </w:r>
      <w:r w:rsidRPr="0059550D">
        <w:rPr>
          <w:lang w:val="en-IE"/>
        </w:rPr>
        <w:t>. This can be used both by CPBs and in cases of joint procurement.</w:t>
      </w:r>
    </w:p>
    <w:p w14:paraId="0C7D84F4" w14:textId="3E4858B9" w:rsidR="00D3597F" w:rsidRPr="0059550D" w:rsidRDefault="00F9792E" w:rsidP="00FA42D3">
      <w:pPr>
        <w:pStyle w:val="Heading3"/>
        <w:rPr>
          <w:lang w:val="en-IE"/>
        </w:rPr>
      </w:pPr>
      <w:bookmarkStart w:id="12" w:name="_Toc25684067"/>
      <w:r>
        <w:rPr>
          <w:lang w:val="en-IE"/>
        </w:rPr>
        <w:t>Government</w:t>
      </w:r>
      <w:r w:rsidR="00FA42D3" w:rsidRPr="0059550D">
        <w:rPr>
          <w:lang w:val="en-IE"/>
        </w:rPr>
        <w:t xml:space="preserve"> </w:t>
      </w:r>
      <w:r w:rsidR="00A3740C" w:rsidRPr="0059550D">
        <w:rPr>
          <w:lang w:val="en-IE"/>
        </w:rPr>
        <w:t>&amp;</w:t>
      </w:r>
      <w:r w:rsidR="00FA42D3" w:rsidRPr="0059550D">
        <w:rPr>
          <w:lang w:val="en-IE"/>
        </w:rPr>
        <w:t xml:space="preserve"> </w:t>
      </w:r>
      <w:r w:rsidR="00B12771" w:rsidRPr="0059550D">
        <w:rPr>
          <w:lang w:val="en-IE"/>
        </w:rPr>
        <w:t>civil society</w:t>
      </w:r>
      <w:bookmarkEnd w:id="12"/>
    </w:p>
    <w:p w14:paraId="40ADECF8" w14:textId="6B68B225" w:rsidR="00D3597F" w:rsidRPr="0059550D" w:rsidRDefault="00D3597F" w:rsidP="00214E3A">
      <w:pPr>
        <w:pStyle w:val="NoSpacing"/>
        <w:rPr>
          <w:lang w:val="en-IE"/>
        </w:rPr>
      </w:pPr>
    </w:p>
    <w:p w14:paraId="7160A297" w14:textId="498B0241" w:rsidR="00DA5E04" w:rsidRPr="0059550D" w:rsidRDefault="00DA5E04" w:rsidP="00214E3A">
      <w:pPr>
        <w:pStyle w:val="NoSpacing"/>
        <w:rPr>
          <w:lang w:val="en-IE"/>
        </w:rPr>
      </w:pPr>
      <w:r w:rsidRPr="0059550D">
        <w:rPr>
          <w:lang w:val="en-IE"/>
        </w:rPr>
        <w:t>Data plays a crucial role in improving the value</w:t>
      </w:r>
      <w:r w:rsidR="002F5C64">
        <w:rPr>
          <w:lang w:val="en-IE"/>
        </w:rPr>
        <w:t xml:space="preserve"> for</w:t>
      </w:r>
      <w:r w:rsidRPr="0059550D">
        <w:rPr>
          <w:lang w:val="en-IE"/>
        </w:rPr>
        <w:t xml:space="preserve"> money the public sector gets from public procurement. This mainly boils down to the management mantra of “if you can’t measure it, you can’t improve it” – and data is the basis on which procurement practice can be measured</w:t>
      </w:r>
      <w:r w:rsidR="00F9792E">
        <w:rPr>
          <w:lang w:val="en-IE"/>
        </w:rPr>
        <w:t>,</w:t>
      </w:r>
      <w:r w:rsidRPr="0059550D">
        <w:rPr>
          <w:lang w:val="en-IE"/>
        </w:rPr>
        <w:t xml:space="preserve"> understood</w:t>
      </w:r>
      <w:r w:rsidR="00F9792E">
        <w:rPr>
          <w:lang w:val="en-IE"/>
        </w:rPr>
        <w:t xml:space="preserve"> and improved</w:t>
      </w:r>
      <w:r w:rsidRPr="0059550D">
        <w:rPr>
          <w:lang w:val="en-IE"/>
        </w:rPr>
        <w:t xml:space="preserve">. </w:t>
      </w:r>
      <w:r w:rsidR="004420C0">
        <w:rPr>
          <w:lang w:val="en-IE"/>
        </w:rPr>
        <w:t xml:space="preserve">Without data, policy makers would not be able to effectively do their job. </w:t>
      </w:r>
      <w:r w:rsidR="00293E1D">
        <w:rPr>
          <w:lang w:val="en-IE"/>
        </w:rPr>
        <w:t xml:space="preserve">Furthermore, citizens have a right to understand how governments spend their </w:t>
      </w:r>
      <w:r w:rsidR="00293E1D" w:rsidRPr="00293E1D">
        <w:rPr>
          <w:lang w:val="en-IE"/>
        </w:rPr>
        <w:t>money</w:t>
      </w:r>
      <w:r w:rsidR="00293E1D">
        <w:rPr>
          <w:lang w:val="en-IE"/>
        </w:rPr>
        <w:t>.</w:t>
      </w:r>
    </w:p>
    <w:p w14:paraId="31541A7A" w14:textId="77777777" w:rsidR="00DA5E04" w:rsidRPr="0059550D" w:rsidRDefault="00DA5E04" w:rsidP="00214E3A">
      <w:pPr>
        <w:pStyle w:val="NoSpacing"/>
        <w:rPr>
          <w:lang w:val="en-IE"/>
        </w:rPr>
      </w:pPr>
    </w:p>
    <w:p w14:paraId="4117DFDA" w14:textId="195F6B81" w:rsidR="00DA5E04" w:rsidRDefault="00DA5E04" w:rsidP="00214E3A">
      <w:pPr>
        <w:pStyle w:val="NoSpacing"/>
        <w:rPr>
          <w:lang w:val="en-IE"/>
        </w:rPr>
      </w:pPr>
      <w:r w:rsidRPr="0059550D">
        <w:rPr>
          <w:lang w:val="en-IE"/>
        </w:rPr>
        <w:t>G</w:t>
      </w:r>
      <w:r w:rsidR="000362CE" w:rsidRPr="0059550D">
        <w:rPr>
          <w:lang w:val="en-IE"/>
        </w:rPr>
        <w:t xml:space="preserve">overnments </w:t>
      </w:r>
      <w:r w:rsidR="004420C0">
        <w:rPr>
          <w:lang w:val="en-IE"/>
        </w:rPr>
        <w:t>and the</w:t>
      </w:r>
      <w:r w:rsidR="000362CE" w:rsidRPr="0059550D">
        <w:rPr>
          <w:lang w:val="en-IE"/>
        </w:rPr>
        <w:t xml:space="preserve"> </w:t>
      </w:r>
      <w:r w:rsidR="00B12771" w:rsidRPr="0059550D">
        <w:rPr>
          <w:lang w:val="en-IE"/>
        </w:rPr>
        <w:t>civil society</w:t>
      </w:r>
      <w:r w:rsidR="00B12771" w:rsidRPr="0059550D">
        <w:rPr>
          <w:rStyle w:val="FootnoteReference"/>
          <w:lang w:val="en-IE"/>
        </w:rPr>
        <w:footnoteReference w:id="15"/>
      </w:r>
      <w:r w:rsidRPr="0059550D">
        <w:rPr>
          <w:lang w:val="en-IE"/>
        </w:rPr>
        <w:t xml:space="preserve"> are the two important groups </w:t>
      </w:r>
      <w:r w:rsidR="00F9792E">
        <w:rPr>
          <w:lang w:val="en-IE"/>
        </w:rPr>
        <w:t xml:space="preserve">that use data </w:t>
      </w:r>
      <w:r w:rsidR="00B12771" w:rsidRPr="0059550D">
        <w:rPr>
          <w:lang w:val="en-IE"/>
        </w:rPr>
        <w:t xml:space="preserve">for </w:t>
      </w:r>
      <w:r w:rsidR="00F9792E">
        <w:rPr>
          <w:lang w:val="en-IE"/>
        </w:rPr>
        <w:t xml:space="preserve">these </w:t>
      </w:r>
      <w:r w:rsidR="00B12771" w:rsidRPr="0059550D">
        <w:rPr>
          <w:lang w:val="en-IE"/>
        </w:rPr>
        <w:t>purposes. Both groups</w:t>
      </w:r>
      <w:r w:rsidR="009D4BAA" w:rsidRPr="0059550D">
        <w:rPr>
          <w:lang w:val="en-IE"/>
        </w:rPr>
        <w:t xml:space="preserve"> can conduct similar</w:t>
      </w:r>
      <w:r w:rsidR="00DA254D" w:rsidRPr="00DA254D">
        <w:rPr>
          <w:lang w:val="en-IE"/>
        </w:rPr>
        <w:t xml:space="preserve"> </w:t>
      </w:r>
      <w:r w:rsidR="00DA254D" w:rsidRPr="0059550D">
        <w:rPr>
          <w:lang w:val="en-IE"/>
        </w:rPr>
        <w:t>type of analysis</w:t>
      </w:r>
      <w:r w:rsidR="00804B5A" w:rsidRPr="0059550D">
        <w:rPr>
          <w:lang w:val="en-IE"/>
        </w:rPr>
        <w:t xml:space="preserve">, as long as the same data is available outside </w:t>
      </w:r>
      <w:r w:rsidR="00F9792E">
        <w:rPr>
          <w:lang w:val="en-IE"/>
        </w:rPr>
        <w:t xml:space="preserve">and </w:t>
      </w:r>
      <w:r w:rsidR="00804B5A" w:rsidRPr="0059550D">
        <w:rPr>
          <w:lang w:val="en-IE"/>
        </w:rPr>
        <w:t>inside of government</w:t>
      </w:r>
      <w:r w:rsidR="00F9792E">
        <w:rPr>
          <w:lang w:val="en-IE"/>
        </w:rPr>
        <w:t xml:space="preserve"> (see discussion on delayed publication in</w:t>
      </w:r>
      <w:r w:rsidR="009D4BAA" w:rsidRPr="0059550D">
        <w:rPr>
          <w:lang w:val="en-IE"/>
        </w:rPr>
        <w:t xml:space="preserve"> </w:t>
      </w:r>
      <w:r w:rsidR="00F9792E">
        <w:rPr>
          <w:lang w:val="en-IE"/>
        </w:rPr>
        <w:fldChar w:fldCharType="begin"/>
      </w:r>
      <w:r w:rsidR="00F9792E">
        <w:rPr>
          <w:lang w:val="en-IE"/>
        </w:rPr>
        <w:instrText xml:space="preserve"> REF _Ref19553030 \r \h </w:instrText>
      </w:r>
      <w:r w:rsidR="00F9792E">
        <w:rPr>
          <w:lang w:val="en-IE"/>
        </w:rPr>
      </w:r>
      <w:r w:rsidR="00F9792E">
        <w:rPr>
          <w:lang w:val="en-IE"/>
        </w:rPr>
        <w:fldChar w:fldCharType="separate"/>
      </w:r>
      <w:r w:rsidR="00031242">
        <w:rPr>
          <w:lang w:val="en-IE"/>
        </w:rPr>
        <w:t>3.5.2</w:t>
      </w:r>
      <w:r w:rsidR="00F9792E">
        <w:rPr>
          <w:lang w:val="en-IE"/>
        </w:rPr>
        <w:fldChar w:fldCharType="end"/>
      </w:r>
      <w:r w:rsidR="00F9792E">
        <w:rPr>
          <w:lang w:val="en-IE"/>
        </w:rPr>
        <w:t xml:space="preserve">). </w:t>
      </w:r>
      <w:r w:rsidR="00CE3804">
        <w:rPr>
          <w:lang w:val="en-IE"/>
        </w:rPr>
        <w:t xml:space="preserve">Currently, TED Open Data is </w:t>
      </w:r>
      <w:r w:rsidR="00CE3804" w:rsidRPr="0059550D">
        <w:rPr>
          <w:lang w:val="en-IE"/>
        </w:rPr>
        <w:t>the most popular open dataset on the EU Open Data Portal</w:t>
      </w:r>
      <w:r w:rsidR="00CE3804">
        <w:rPr>
          <w:rStyle w:val="FootnoteReference"/>
          <w:lang w:val="en-IE"/>
        </w:rPr>
        <w:footnoteReference w:id="16"/>
      </w:r>
      <w:r w:rsidR="00CE3804">
        <w:rPr>
          <w:lang w:val="en-IE"/>
        </w:rPr>
        <w:t>,</w:t>
      </w:r>
      <w:r w:rsidR="00CE3804" w:rsidRPr="0059550D">
        <w:rPr>
          <w:lang w:val="en-IE"/>
        </w:rPr>
        <w:t xml:space="preserve"> with more </w:t>
      </w:r>
      <w:r w:rsidR="007C57EE">
        <w:rPr>
          <w:lang w:val="en-IE"/>
        </w:rPr>
        <w:t xml:space="preserve">than </w:t>
      </w:r>
      <w:r w:rsidR="00CE3804">
        <w:rPr>
          <w:lang w:val="en-IE"/>
        </w:rPr>
        <w:t>70</w:t>
      </w:r>
      <w:r w:rsidR="00CE3804" w:rsidRPr="0059550D">
        <w:rPr>
          <w:lang w:val="en-IE"/>
        </w:rPr>
        <w:t xml:space="preserve">,000 views and </w:t>
      </w:r>
      <w:r w:rsidR="00CE3804">
        <w:rPr>
          <w:lang w:val="en-IE"/>
        </w:rPr>
        <w:t>almost 2</w:t>
      </w:r>
      <w:r w:rsidR="00CE3804" w:rsidRPr="0059550D">
        <w:rPr>
          <w:lang w:val="en-IE"/>
        </w:rPr>
        <w:t>0,000 downloads.</w:t>
      </w:r>
    </w:p>
    <w:p w14:paraId="27DF3473" w14:textId="06FA2F87" w:rsidR="0070592A" w:rsidRDefault="0070592A" w:rsidP="00214E3A">
      <w:pPr>
        <w:pStyle w:val="NoSpacing"/>
        <w:rPr>
          <w:lang w:val="en-IE"/>
        </w:rPr>
      </w:pPr>
    </w:p>
    <w:p w14:paraId="46FE02B8" w14:textId="3B3D28EE" w:rsidR="0070592A" w:rsidRPr="0059550D" w:rsidRDefault="00F35478" w:rsidP="00214E3A">
      <w:pPr>
        <w:pStyle w:val="NoSpacing"/>
        <w:rPr>
          <w:lang w:val="en-IE"/>
        </w:rPr>
      </w:pPr>
      <w:r>
        <w:rPr>
          <w:lang w:val="en-IE"/>
        </w:rPr>
        <w:t xml:space="preserve">Basic </w:t>
      </w:r>
      <w:r w:rsidR="0070592A">
        <w:rPr>
          <w:lang w:val="en-IE"/>
        </w:rPr>
        <w:t xml:space="preserve">data analysis for </w:t>
      </w:r>
      <w:r>
        <w:rPr>
          <w:lang w:val="en-IE"/>
        </w:rPr>
        <w:t xml:space="preserve">better efficiency </w:t>
      </w:r>
      <w:r w:rsidR="0070592A">
        <w:rPr>
          <w:lang w:val="en-IE"/>
        </w:rPr>
        <w:t>is based on “red flags”</w:t>
      </w:r>
      <w:r w:rsidR="0070592A">
        <w:rPr>
          <w:rStyle w:val="FootnoteReference"/>
          <w:lang w:val="en-IE"/>
        </w:rPr>
        <w:footnoteReference w:id="17"/>
      </w:r>
      <w:r w:rsidR="0070592A">
        <w:rPr>
          <w:lang w:val="en-IE"/>
        </w:rPr>
        <w:t>, i.e. indicators t</w:t>
      </w:r>
      <w:r>
        <w:rPr>
          <w:lang w:val="en-IE"/>
        </w:rPr>
        <w:t xml:space="preserve">hat, if discovered repeatedly, </w:t>
      </w:r>
      <w:r w:rsidR="0070592A">
        <w:rPr>
          <w:lang w:val="en-IE"/>
        </w:rPr>
        <w:t>point to</w:t>
      </w:r>
      <w:r>
        <w:rPr>
          <w:lang w:val="en-IE"/>
        </w:rPr>
        <w:t xml:space="preserve"> problems in procurement</w:t>
      </w:r>
      <w:r w:rsidR="0070592A">
        <w:rPr>
          <w:lang w:val="en-IE"/>
        </w:rPr>
        <w:t xml:space="preserve">. </w:t>
      </w:r>
      <w:r w:rsidR="00761488">
        <w:rPr>
          <w:lang w:val="en-IE"/>
        </w:rPr>
        <w:t xml:space="preserve">Examples of red flags include received single tenders, </w:t>
      </w:r>
      <w:r w:rsidR="00761488">
        <w:rPr>
          <w:lang w:val="en-IE"/>
        </w:rPr>
        <w:lastRenderedPageBreak/>
        <w:t xml:space="preserve">use of direct awards, not using any qualitative award criteria, high number of complaints, not using electronic procurement, etc. </w:t>
      </w:r>
      <w:r>
        <w:rPr>
          <w:lang w:val="en-IE"/>
        </w:rPr>
        <w:t xml:space="preserve">The inverse of red flags are signs of good practice, </w:t>
      </w:r>
      <w:r w:rsidR="00E46AB9">
        <w:rPr>
          <w:lang w:val="en-IE"/>
        </w:rPr>
        <w:t xml:space="preserve">e.g. the absence of red flags, a </w:t>
      </w:r>
      <w:r>
        <w:rPr>
          <w:lang w:val="en-IE"/>
        </w:rPr>
        <w:t xml:space="preserve">repeated high number of </w:t>
      </w:r>
      <w:r w:rsidR="00E46AB9">
        <w:rPr>
          <w:lang w:val="en-IE"/>
        </w:rPr>
        <w:t xml:space="preserve">received </w:t>
      </w:r>
      <w:r>
        <w:rPr>
          <w:lang w:val="en-IE"/>
        </w:rPr>
        <w:t xml:space="preserve">tenders. </w:t>
      </w:r>
    </w:p>
    <w:p w14:paraId="4AA9D124" w14:textId="2F14BE43" w:rsidR="00DA5E04" w:rsidRDefault="00DA5E04" w:rsidP="00214E3A">
      <w:pPr>
        <w:pStyle w:val="NoSpacing"/>
        <w:rPr>
          <w:lang w:val="en-IE"/>
        </w:rPr>
      </w:pPr>
    </w:p>
    <w:p w14:paraId="49D3DB58" w14:textId="76C53CF8" w:rsidR="00512498" w:rsidRDefault="002E515A" w:rsidP="00214E3A">
      <w:pPr>
        <w:pStyle w:val="NoSpacing"/>
        <w:rPr>
          <w:lang w:val="en-IE"/>
        </w:rPr>
      </w:pPr>
      <w:r>
        <w:rPr>
          <w:lang w:val="en-IE"/>
        </w:rPr>
        <w:t>The avai</w:t>
      </w:r>
      <w:r w:rsidR="002811F0">
        <w:rPr>
          <w:lang w:val="en-IE"/>
        </w:rPr>
        <w:t>l</w:t>
      </w:r>
      <w:r>
        <w:rPr>
          <w:lang w:val="en-IE"/>
        </w:rPr>
        <w:t xml:space="preserve">ability of data can provide answers to the following questions: </w:t>
      </w:r>
    </w:p>
    <w:p w14:paraId="6EA79FE3" w14:textId="2D8C55F6" w:rsidR="00512498" w:rsidRDefault="00512498" w:rsidP="00512498">
      <w:pPr>
        <w:pStyle w:val="NoSpacing"/>
        <w:numPr>
          <w:ilvl w:val="0"/>
          <w:numId w:val="54"/>
        </w:numPr>
        <w:rPr>
          <w:lang w:val="en-IE"/>
        </w:rPr>
      </w:pPr>
      <w:r>
        <w:rPr>
          <w:lang w:val="en-IE"/>
        </w:rPr>
        <w:t>Wh</w:t>
      </w:r>
      <w:r w:rsidR="00B52B2A">
        <w:rPr>
          <w:lang w:val="en-IE"/>
        </w:rPr>
        <w:t>ich buyers</w:t>
      </w:r>
      <w:r w:rsidR="002811F0">
        <w:rPr>
          <w:lang w:val="en-IE"/>
        </w:rPr>
        <w:t xml:space="preserve"> need</w:t>
      </w:r>
      <w:r w:rsidR="00B52B2A">
        <w:rPr>
          <w:lang w:val="en-IE"/>
        </w:rPr>
        <w:t xml:space="preserve"> more resources, training, </w:t>
      </w:r>
      <w:r w:rsidR="002811F0">
        <w:rPr>
          <w:lang w:val="en-IE"/>
        </w:rPr>
        <w:t xml:space="preserve">or </w:t>
      </w:r>
      <w:r w:rsidR="00B52B2A">
        <w:rPr>
          <w:lang w:val="en-IE"/>
        </w:rPr>
        <w:t xml:space="preserve">support? </w:t>
      </w:r>
    </w:p>
    <w:p w14:paraId="7D180B5D" w14:textId="74FB08F1" w:rsidR="00B52B2A" w:rsidRDefault="002E515A" w:rsidP="00512498">
      <w:pPr>
        <w:pStyle w:val="NoSpacing"/>
        <w:numPr>
          <w:ilvl w:val="0"/>
          <w:numId w:val="54"/>
        </w:numPr>
        <w:rPr>
          <w:lang w:val="en-IE"/>
        </w:rPr>
      </w:pPr>
      <w:r>
        <w:rPr>
          <w:lang w:val="en-IE"/>
        </w:rPr>
        <w:t xml:space="preserve">Which buyers’ </w:t>
      </w:r>
      <w:r w:rsidR="00B52B2A">
        <w:rPr>
          <w:lang w:val="en-IE"/>
        </w:rPr>
        <w:t>practices can we promote to increase overall professionalism? Who should we award to promote good practice?</w:t>
      </w:r>
    </w:p>
    <w:p w14:paraId="5E5BA4DE" w14:textId="0F86CDEC" w:rsidR="00B52B2A" w:rsidRDefault="00B52B2A" w:rsidP="00512498">
      <w:pPr>
        <w:pStyle w:val="NoSpacing"/>
        <w:numPr>
          <w:ilvl w:val="0"/>
          <w:numId w:val="54"/>
        </w:numPr>
        <w:rPr>
          <w:lang w:val="en-IE"/>
        </w:rPr>
      </w:pPr>
      <w:r>
        <w:rPr>
          <w:lang w:val="en-IE"/>
        </w:rPr>
        <w:t xml:space="preserve">What practices (e.g. award or selection criteria, tender submission deadlines) are associated with more successful procedures, so that we can promote them? </w:t>
      </w:r>
    </w:p>
    <w:p w14:paraId="6B058EEE" w14:textId="7A2E9BA9" w:rsidR="00B52B2A" w:rsidRDefault="00B52B2A" w:rsidP="00512498">
      <w:pPr>
        <w:pStyle w:val="NoSpacing"/>
        <w:numPr>
          <w:ilvl w:val="0"/>
          <w:numId w:val="54"/>
        </w:numPr>
        <w:rPr>
          <w:lang w:val="en-IE"/>
        </w:rPr>
      </w:pPr>
      <w:r>
        <w:rPr>
          <w:lang w:val="en-IE"/>
        </w:rPr>
        <w:t xml:space="preserve">Where should audits be directed? </w:t>
      </w:r>
    </w:p>
    <w:p w14:paraId="69169AF4" w14:textId="73247A30" w:rsidR="00B52B2A" w:rsidRDefault="00B52B2A" w:rsidP="00512498">
      <w:pPr>
        <w:pStyle w:val="NoSpacing"/>
        <w:numPr>
          <w:ilvl w:val="0"/>
          <w:numId w:val="54"/>
        </w:numPr>
        <w:rPr>
          <w:lang w:val="en-IE"/>
        </w:rPr>
      </w:pPr>
      <w:r>
        <w:rPr>
          <w:lang w:val="en-IE"/>
        </w:rPr>
        <w:t xml:space="preserve">Where should anti-collusive investigations be targeted? </w:t>
      </w:r>
    </w:p>
    <w:p w14:paraId="6E06AFF1" w14:textId="27BA2201" w:rsidR="00512498" w:rsidRDefault="00512498" w:rsidP="00512498">
      <w:pPr>
        <w:pStyle w:val="NoSpacing"/>
        <w:rPr>
          <w:lang w:val="en-IE"/>
        </w:rPr>
      </w:pPr>
    </w:p>
    <w:p w14:paraId="40E12863" w14:textId="2879707E" w:rsidR="000A1444" w:rsidRPr="0059550D" w:rsidRDefault="00F35478" w:rsidP="004F20FE">
      <w:pPr>
        <w:pStyle w:val="NoSpacing"/>
        <w:rPr>
          <w:lang w:val="en-IE"/>
        </w:rPr>
      </w:pPr>
      <w:r>
        <w:rPr>
          <w:lang w:val="en-IE"/>
        </w:rPr>
        <w:t>Procurement data is also used to meet EU countries reporting obligations, such as those towards the World Trade Organisation’s Government Procurement Agreement (done by the European Commission) and those under the procurement and green vehicle</w:t>
      </w:r>
      <w:r>
        <w:rPr>
          <w:rStyle w:val="FootnoteReference"/>
          <w:lang w:val="en-IE"/>
        </w:rPr>
        <w:footnoteReference w:id="18"/>
      </w:r>
      <w:r>
        <w:rPr>
          <w:lang w:val="en-IE"/>
        </w:rPr>
        <w:t xml:space="preserve"> directives. </w:t>
      </w:r>
    </w:p>
    <w:p w14:paraId="75940C7A" w14:textId="583354FC" w:rsidR="00470FB8" w:rsidRPr="0059550D" w:rsidRDefault="00470FB8" w:rsidP="00201103">
      <w:pPr>
        <w:pStyle w:val="Heading3"/>
        <w:rPr>
          <w:lang w:val="en-IE"/>
        </w:rPr>
      </w:pPr>
      <w:bookmarkStart w:id="13" w:name="_Toc25684068"/>
      <w:r w:rsidRPr="0059550D">
        <w:rPr>
          <w:lang w:val="en-IE"/>
        </w:rPr>
        <w:t xml:space="preserve">Notice </w:t>
      </w:r>
      <w:r w:rsidR="00A3054E" w:rsidRPr="0059550D">
        <w:rPr>
          <w:lang w:val="en-IE"/>
        </w:rPr>
        <w:t>senders &amp; publishers</w:t>
      </w:r>
      <w:bookmarkEnd w:id="13"/>
    </w:p>
    <w:p w14:paraId="12143597" w14:textId="4DBE80B1" w:rsidR="00470FB8" w:rsidRPr="0059550D" w:rsidRDefault="00470FB8" w:rsidP="00214E3A">
      <w:pPr>
        <w:pStyle w:val="NoSpacing"/>
        <w:rPr>
          <w:lang w:val="en-IE"/>
        </w:rPr>
      </w:pPr>
    </w:p>
    <w:p w14:paraId="7B4FDA00" w14:textId="7D3B70CB" w:rsidR="00C662FF" w:rsidRPr="0059550D" w:rsidRDefault="00F92138" w:rsidP="00214E3A">
      <w:pPr>
        <w:pStyle w:val="NoSpacing"/>
        <w:rPr>
          <w:lang w:val="en-IE"/>
        </w:rPr>
      </w:pPr>
      <w:r>
        <w:rPr>
          <w:lang w:val="en-IE"/>
        </w:rPr>
        <w:t xml:space="preserve">TED </w:t>
      </w:r>
      <w:r w:rsidR="00FB25D3">
        <w:rPr>
          <w:lang w:val="en-IE"/>
        </w:rPr>
        <w:t xml:space="preserve">eSenders </w:t>
      </w:r>
      <w:r w:rsidR="00BF4626" w:rsidRPr="0059550D">
        <w:rPr>
          <w:lang w:val="en-IE"/>
        </w:rPr>
        <w:t>and the Publications Office of the EU</w:t>
      </w:r>
      <w:r w:rsidR="00DA254D" w:rsidRPr="00DA254D">
        <w:rPr>
          <w:lang w:val="en-IE"/>
        </w:rPr>
        <w:t xml:space="preserve"> </w:t>
      </w:r>
      <w:r w:rsidR="00DA1B5C">
        <w:rPr>
          <w:lang w:val="en-IE"/>
        </w:rPr>
        <w:t>provide for publishing services.</w:t>
      </w:r>
      <w:r w:rsidR="00706C32" w:rsidRPr="0059550D">
        <w:rPr>
          <w:lang w:val="en-IE"/>
        </w:rPr>
        <w:t xml:space="preserve"> The</w:t>
      </w:r>
      <w:r w:rsidR="00FB25D3">
        <w:rPr>
          <w:lang w:val="en-IE"/>
        </w:rPr>
        <w:t>ir</w:t>
      </w:r>
      <w:r w:rsidR="00706C32" w:rsidRPr="0059550D">
        <w:rPr>
          <w:lang w:val="en-IE"/>
        </w:rPr>
        <w:t xml:space="preserve"> interest is </w:t>
      </w:r>
      <w:r w:rsidR="00242BF2">
        <w:rPr>
          <w:lang w:val="en-IE"/>
        </w:rPr>
        <w:t xml:space="preserve">to </w:t>
      </w:r>
      <w:r w:rsidR="00DA1B5C">
        <w:rPr>
          <w:lang w:val="en-IE"/>
        </w:rPr>
        <w:t>ensure that</w:t>
      </w:r>
      <w:r w:rsidR="00C662FF" w:rsidRPr="0059550D">
        <w:rPr>
          <w:lang w:val="en-IE"/>
        </w:rPr>
        <w:t xml:space="preserve"> information</w:t>
      </w:r>
      <w:r w:rsidR="00DA1B5C">
        <w:rPr>
          <w:lang w:val="en-IE"/>
        </w:rPr>
        <w:t xml:space="preserve"> is sent, received and published</w:t>
      </w:r>
      <w:r w:rsidR="00C662FF" w:rsidRPr="0059550D">
        <w:rPr>
          <w:lang w:val="en-IE"/>
        </w:rPr>
        <w:t xml:space="preserve"> correctly, </w:t>
      </w:r>
      <w:r w:rsidR="00DA254D">
        <w:rPr>
          <w:lang w:val="en-IE"/>
        </w:rPr>
        <w:t>cost efficiently</w:t>
      </w:r>
      <w:r w:rsidR="00DA254D" w:rsidRPr="0059550D">
        <w:rPr>
          <w:lang w:val="en-IE"/>
        </w:rPr>
        <w:t xml:space="preserve"> </w:t>
      </w:r>
      <w:r w:rsidR="00C662FF" w:rsidRPr="0059550D">
        <w:rPr>
          <w:lang w:val="en-IE"/>
        </w:rPr>
        <w:t>and fast</w:t>
      </w:r>
      <w:r w:rsidR="00706C32" w:rsidRPr="0059550D">
        <w:rPr>
          <w:lang w:val="en-IE"/>
        </w:rPr>
        <w:t>. In case of privately operated eSenders</w:t>
      </w:r>
      <w:r w:rsidR="00C662FF" w:rsidRPr="0059550D">
        <w:rPr>
          <w:lang w:val="en-IE"/>
        </w:rPr>
        <w:t xml:space="preserve">, </w:t>
      </w:r>
      <w:r w:rsidR="00FB25D3">
        <w:rPr>
          <w:lang w:val="en-IE"/>
        </w:rPr>
        <w:t>generating</w:t>
      </w:r>
      <w:r w:rsidR="00C662FF" w:rsidRPr="0059550D">
        <w:rPr>
          <w:lang w:val="en-IE"/>
        </w:rPr>
        <w:t xml:space="preserve"> a profit</w:t>
      </w:r>
      <w:r w:rsidR="00887E0B">
        <w:rPr>
          <w:lang w:val="en-IE"/>
        </w:rPr>
        <w:t xml:space="preserve"> is also in their interest</w:t>
      </w:r>
      <w:r w:rsidR="00706C32" w:rsidRPr="0059550D">
        <w:rPr>
          <w:lang w:val="en-IE"/>
        </w:rPr>
        <w:t>.</w:t>
      </w:r>
    </w:p>
    <w:p w14:paraId="4566956E" w14:textId="4C454634" w:rsidR="00894E72" w:rsidRPr="0059550D" w:rsidRDefault="00894E72" w:rsidP="00894E72">
      <w:pPr>
        <w:pStyle w:val="Heading2"/>
        <w:rPr>
          <w:lang w:val="en-IE"/>
        </w:rPr>
      </w:pPr>
      <w:bookmarkStart w:id="14" w:name="_Toc25684069"/>
      <w:r w:rsidRPr="0059550D">
        <w:rPr>
          <w:lang w:val="en-IE"/>
        </w:rPr>
        <w:t xml:space="preserve">Main </w:t>
      </w:r>
      <w:r w:rsidR="00902E1C" w:rsidRPr="0059550D">
        <w:rPr>
          <w:lang w:val="en-IE"/>
        </w:rPr>
        <w:t>advantages</w:t>
      </w:r>
      <w:bookmarkEnd w:id="14"/>
    </w:p>
    <w:p w14:paraId="378D545E" w14:textId="43EA6EE4" w:rsidR="00894E72" w:rsidRPr="0059550D" w:rsidRDefault="00894E72" w:rsidP="00214E3A">
      <w:pPr>
        <w:pStyle w:val="NoSpacing"/>
        <w:rPr>
          <w:lang w:val="en-IE"/>
        </w:rPr>
      </w:pPr>
    </w:p>
    <w:p w14:paraId="6E3E8CBA" w14:textId="16DCA26B" w:rsidR="0028474B" w:rsidRPr="0059550D" w:rsidRDefault="000A319F" w:rsidP="0028474B">
      <w:pPr>
        <w:pStyle w:val="NoSpacing"/>
        <w:rPr>
          <w:rFonts w:cstheme="minorHAnsi"/>
          <w:lang w:val="en-IE"/>
        </w:rPr>
      </w:pPr>
      <w:r w:rsidRPr="0059550D">
        <w:rPr>
          <w:lang w:val="en-IE"/>
        </w:rPr>
        <w:t xml:space="preserve">eForms offer their users a wide range of advantages. </w:t>
      </w:r>
      <w:r w:rsidR="0028474B" w:rsidRPr="0059550D">
        <w:rPr>
          <w:lang w:val="en-IE"/>
        </w:rPr>
        <w:t xml:space="preserve">Below, we summarize the five </w:t>
      </w:r>
      <w:r w:rsidR="001416C1" w:rsidRPr="0059550D">
        <w:rPr>
          <w:lang w:val="en-IE"/>
        </w:rPr>
        <w:t>main</w:t>
      </w:r>
      <w:r w:rsidR="001416C1">
        <w:rPr>
          <w:lang w:val="en-IE"/>
        </w:rPr>
        <w:t xml:space="preserve"> ones</w:t>
      </w:r>
      <w:r w:rsidR="0028474B" w:rsidRPr="0059550D">
        <w:rPr>
          <w:lang w:val="en-IE"/>
        </w:rPr>
        <w:t>.</w:t>
      </w:r>
      <w:r w:rsidR="0028474B" w:rsidRPr="0059550D">
        <w:rPr>
          <w:rFonts w:cstheme="minorHAnsi"/>
          <w:lang w:val="en-IE"/>
        </w:rPr>
        <w:t xml:space="preserve"> </w:t>
      </w:r>
    </w:p>
    <w:p w14:paraId="4C79DCF1" w14:textId="0586E938" w:rsidR="004830E4" w:rsidRPr="0059550D" w:rsidRDefault="003529AE" w:rsidP="00F6038C">
      <w:pPr>
        <w:pStyle w:val="Heading3"/>
        <w:rPr>
          <w:lang w:val="en-IE"/>
        </w:rPr>
      </w:pPr>
      <w:bookmarkStart w:id="15" w:name="_Toc25684070"/>
      <w:r w:rsidRPr="0059550D">
        <w:rPr>
          <w:lang w:val="en-IE"/>
        </w:rPr>
        <w:t>Digital</w:t>
      </w:r>
      <w:bookmarkEnd w:id="15"/>
    </w:p>
    <w:p w14:paraId="6BD03B8D" w14:textId="77777777" w:rsidR="00FD435E" w:rsidRPr="0059550D" w:rsidRDefault="00FD435E" w:rsidP="004830E4">
      <w:pPr>
        <w:pStyle w:val="NoSpacing"/>
        <w:rPr>
          <w:lang w:val="en-IE"/>
        </w:rPr>
      </w:pPr>
    </w:p>
    <w:p w14:paraId="10949319" w14:textId="0283A999" w:rsidR="00FD435E" w:rsidRPr="0059550D" w:rsidRDefault="00FD435E" w:rsidP="004830E4">
      <w:pPr>
        <w:pStyle w:val="NoSpacing"/>
        <w:rPr>
          <w:lang w:val="en-IE"/>
        </w:rPr>
      </w:pPr>
      <w:r w:rsidRPr="0059550D">
        <w:rPr>
          <w:lang w:val="en-IE"/>
        </w:rPr>
        <w:t xml:space="preserve">While notices have been overwhelmingly digital for more than a decade, they were simply a digitisation of a paper process. eForms are the first standard forms designed with a digital implementation in mind. </w:t>
      </w:r>
    </w:p>
    <w:p w14:paraId="3941751F" w14:textId="4C65FC3E" w:rsidR="00C11181" w:rsidRPr="0059550D" w:rsidRDefault="00C11181" w:rsidP="004830E4">
      <w:pPr>
        <w:pStyle w:val="NoSpacing"/>
        <w:rPr>
          <w:lang w:val="en-IE"/>
        </w:rPr>
      </w:pPr>
    </w:p>
    <w:p w14:paraId="27662E57" w14:textId="0336B435" w:rsidR="005734C7" w:rsidRPr="0059550D" w:rsidRDefault="00785C45" w:rsidP="004830E4">
      <w:pPr>
        <w:pStyle w:val="NoSpacing"/>
        <w:rPr>
          <w:lang w:val="en-IE"/>
        </w:rPr>
      </w:pPr>
      <w:r w:rsidRPr="0059550D">
        <w:rPr>
          <w:lang w:val="en-IE"/>
        </w:rPr>
        <w:t xml:space="preserve">Digital by design </w:t>
      </w:r>
      <w:r w:rsidR="00C11181" w:rsidRPr="0059550D">
        <w:rPr>
          <w:lang w:val="en-IE"/>
        </w:rPr>
        <w:t xml:space="preserve">is crucial for </w:t>
      </w:r>
      <w:r w:rsidR="00530708" w:rsidRPr="0059550D">
        <w:rPr>
          <w:lang w:val="en-IE"/>
        </w:rPr>
        <w:t xml:space="preserve">implementing eForms in a way that notices get largely filled in automatically </w:t>
      </w:r>
      <w:r w:rsidRPr="0059550D">
        <w:rPr>
          <w:lang w:val="en-IE"/>
        </w:rPr>
        <w:t>(</w:t>
      </w:r>
      <w:r w:rsidRPr="00F46F11">
        <w:rPr>
          <w:lang w:val="en-IE"/>
        </w:rPr>
        <w:t xml:space="preserve">see section </w:t>
      </w:r>
      <w:r w:rsidR="00F46F11" w:rsidRPr="007D4B05">
        <w:rPr>
          <w:lang w:val="en-IE"/>
        </w:rPr>
        <w:t xml:space="preserve">4.1 </w:t>
      </w:r>
      <w:r w:rsidRPr="00F46F11">
        <w:rPr>
          <w:lang w:val="en-IE"/>
        </w:rPr>
        <w:t xml:space="preserve">for </w:t>
      </w:r>
      <w:r w:rsidR="00B158E0" w:rsidRPr="00F46F11">
        <w:rPr>
          <w:lang w:val="en-IE"/>
        </w:rPr>
        <w:t>an in-depth discussion).</w:t>
      </w:r>
      <w:r w:rsidR="00B158E0" w:rsidRPr="0059550D">
        <w:rPr>
          <w:lang w:val="en-IE"/>
        </w:rPr>
        <w:t xml:space="preserve"> </w:t>
      </w:r>
      <w:r w:rsidR="00BF7543" w:rsidRPr="0059550D">
        <w:rPr>
          <w:lang w:val="en-IE"/>
        </w:rPr>
        <w:t>This means much lower administrative burden and much higher data accuracy</w:t>
      </w:r>
      <w:r w:rsidR="00240F35">
        <w:rPr>
          <w:lang w:val="en-IE"/>
        </w:rPr>
        <w:t xml:space="preserve"> and usefulness</w:t>
      </w:r>
      <w:r w:rsidR="00BF7543" w:rsidRPr="0059550D">
        <w:rPr>
          <w:lang w:val="en-IE"/>
        </w:rPr>
        <w:t>.</w:t>
      </w:r>
    </w:p>
    <w:p w14:paraId="31406B87" w14:textId="77777777" w:rsidR="005734C7" w:rsidRPr="0059550D" w:rsidRDefault="005734C7" w:rsidP="004830E4">
      <w:pPr>
        <w:pStyle w:val="NoSpacing"/>
        <w:rPr>
          <w:lang w:val="en-IE"/>
        </w:rPr>
      </w:pPr>
    </w:p>
    <w:p w14:paraId="7F8ABB00" w14:textId="0F50EF27" w:rsidR="00C11181" w:rsidRPr="0059550D" w:rsidRDefault="000F2D2B" w:rsidP="004830E4">
      <w:pPr>
        <w:pStyle w:val="NoSpacing"/>
        <w:rPr>
          <w:lang w:val="en-IE"/>
        </w:rPr>
      </w:pPr>
      <w:r w:rsidRPr="0059550D">
        <w:rPr>
          <w:lang w:val="en-IE"/>
        </w:rPr>
        <w:t xml:space="preserve">Furthermore, </w:t>
      </w:r>
      <w:r w:rsidR="00FF6BD2" w:rsidRPr="0059550D">
        <w:rPr>
          <w:lang w:val="en-IE"/>
        </w:rPr>
        <w:t xml:space="preserve">eForms </w:t>
      </w:r>
      <w:r w:rsidR="00240F35">
        <w:rPr>
          <w:lang w:val="en-IE"/>
        </w:rPr>
        <w:t xml:space="preserve">are designed to make </w:t>
      </w:r>
      <w:r w:rsidR="00137D00" w:rsidRPr="0059550D">
        <w:rPr>
          <w:lang w:val="en-IE"/>
        </w:rPr>
        <w:t xml:space="preserve">life easier for users, </w:t>
      </w:r>
      <w:r w:rsidR="00125B49">
        <w:rPr>
          <w:lang w:val="en-IE"/>
        </w:rPr>
        <w:t xml:space="preserve">allowing for example </w:t>
      </w:r>
      <w:r w:rsidR="00137D00" w:rsidRPr="0059550D">
        <w:rPr>
          <w:lang w:val="en-IE"/>
        </w:rPr>
        <w:t xml:space="preserve">automated </w:t>
      </w:r>
      <w:r w:rsidR="00FF6BD2" w:rsidRPr="0059550D">
        <w:rPr>
          <w:lang w:val="en-IE"/>
        </w:rPr>
        <w:t xml:space="preserve">publication </w:t>
      </w:r>
      <w:r w:rsidR="00137D00" w:rsidRPr="0059550D">
        <w:rPr>
          <w:lang w:val="en-IE"/>
        </w:rPr>
        <w:t xml:space="preserve">and integration </w:t>
      </w:r>
      <w:r w:rsidR="00FF6BD2" w:rsidRPr="0059550D">
        <w:rPr>
          <w:lang w:val="en-IE"/>
        </w:rPr>
        <w:t xml:space="preserve">of corrections (see </w:t>
      </w:r>
      <w:r w:rsidR="00312864">
        <w:rPr>
          <w:lang w:val="en-IE"/>
        </w:rPr>
        <w:t xml:space="preserve">Annex I, section </w:t>
      </w:r>
      <w:r w:rsidR="0090401B">
        <w:rPr>
          <w:lang w:val="en-IE"/>
        </w:rPr>
        <w:fldChar w:fldCharType="begin"/>
      </w:r>
      <w:r w:rsidR="0090401B">
        <w:rPr>
          <w:lang w:val="en-IE"/>
        </w:rPr>
        <w:instrText xml:space="preserve"> REF _Ref20513857 \r \h </w:instrText>
      </w:r>
      <w:r w:rsidR="0090401B">
        <w:rPr>
          <w:lang w:val="en-IE"/>
        </w:rPr>
      </w:r>
      <w:r w:rsidR="0090401B">
        <w:rPr>
          <w:lang w:val="en-IE"/>
        </w:rPr>
        <w:fldChar w:fldCharType="separate"/>
      </w:r>
      <w:r w:rsidR="00031242">
        <w:rPr>
          <w:lang w:val="en-IE"/>
        </w:rPr>
        <w:t>10</w:t>
      </w:r>
      <w:r w:rsidR="0090401B">
        <w:rPr>
          <w:lang w:val="en-IE"/>
        </w:rPr>
        <w:fldChar w:fldCharType="end"/>
      </w:r>
      <w:r w:rsidR="00FF6BD2" w:rsidRPr="0059550D">
        <w:rPr>
          <w:lang w:val="en-IE"/>
        </w:rPr>
        <w:t xml:space="preserve">) and the </w:t>
      </w:r>
      <w:r w:rsidR="00F07E35" w:rsidRPr="0059550D">
        <w:rPr>
          <w:lang w:val="en-IE"/>
        </w:rPr>
        <w:t>possibility to identify the same procedure published on multiple portals (e.g. regional, national and European).</w:t>
      </w:r>
      <w:r w:rsidR="00287F69" w:rsidRPr="0059550D">
        <w:rPr>
          <w:lang w:val="en-IE"/>
        </w:rPr>
        <w:t xml:space="preserve"> Finally, the eForms are aligned with the ESPD and eInvoicing data standards, thus reducing implementation costs for users working with more than one of these standards. </w:t>
      </w:r>
    </w:p>
    <w:p w14:paraId="3CCD14A4" w14:textId="1B330DEF" w:rsidR="004830E4" w:rsidRPr="0059550D" w:rsidRDefault="004830E4" w:rsidP="004830E4">
      <w:pPr>
        <w:pStyle w:val="Heading3"/>
        <w:rPr>
          <w:lang w:val="en-IE"/>
        </w:rPr>
      </w:pPr>
      <w:bookmarkStart w:id="16" w:name="_Toc25684071"/>
      <w:r w:rsidRPr="0059550D">
        <w:rPr>
          <w:lang w:val="en-IE"/>
        </w:rPr>
        <w:t>Flexible</w:t>
      </w:r>
      <w:bookmarkEnd w:id="16"/>
      <w:r w:rsidRPr="0059550D">
        <w:rPr>
          <w:lang w:val="en-IE"/>
        </w:rPr>
        <w:t xml:space="preserve"> </w:t>
      </w:r>
    </w:p>
    <w:p w14:paraId="3FEA3AAA" w14:textId="19CBA8B5" w:rsidR="004830E4" w:rsidRPr="0059550D" w:rsidRDefault="004830E4" w:rsidP="004830E4">
      <w:pPr>
        <w:pStyle w:val="NoSpacing"/>
        <w:rPr>
          <w:lang w:val="en-IE"/>
        </w:rPr>
      </w:pPr>
    </w:p>
    <w:p w14:paraId="68008100" w14:textId="596792DF" w:rsidR="007C6F7A" w:rsidRPr="0059550D" w:rsidRDefault="00265D2C" w:rsidP="004830E4">
      <w:pPr>
        <w:pStyle w:val="NoSpacing"/>
        <w:rPr>
          <w:rFonts w:cstheme="minorHAnsi"/>
          <w:lang w:val="en-IE"/>
        </w:rPr>
      </w:pPr>
      <w:r w:rsidRPr="0059550D">
        <w:rPr>
          <w:rFonts w:cstheme="minorHAnsi"/>
          <w:lang w:val="en-IE"/>
        </w:rPr>
        <w:lastRenderedPageBreak/>
        <w:t xml:space="preserve">eForms are not a “one-size-fits-all” solution. </w:t>
      </w:r>
      <w:r w:rsidR="00DA1B5C">
        <w:rPr>
          <w:rFonts w:cstheme="minorHAnsi"/>
          <w:lang w:val="en-IE"/>
        </w:rPr>
        <w:t xml:space="preserve">They should be </w:t>
      </w:r>
      <w:r w:rsidR="00DA1B5C" w:rsidRPr="0059550D">
        <w:rPr>
          <w:rFonts w:cstheme="minorHAnsi"/>
          <w:lang w:val="en-IE"/>
        </w:rPr>
        <w:t>implement</w:t>
      </w:r>
      <w:r w:rsidR="002838C0">
        <w:rPr>
          <w:rFonts w:cstheme="minorHAnsi"/>
          <w:lang w:val="en-IE"/>
        </w:rPr>
        <w:t>e</w:t>
      </w:r>
      <w:r w:rsidR="00DA1B5C">
        <w:rPr>
          <w:rFonts w:cstheme="minorHAnsi"/>
          <w:lang w:val="en-IE"/>
        </w:rPr>
        <w:t>d</w:t>
      </w:r>
      <w:r w:rsidR="00DA1B5C" w:rsidRPr="0059550D">
        <w:rPr>
          <w:rFonts w:cstheme="minorHAnsi"/>
          <w:lang w:val="en-IE"/>
        </w:rPr>
        <w:t xml:space="preserve"> </w:t>
      </w:r>
      <w:r w:rsidR="007E0005" w:rsidRPr="0059550D">
        <w:rPr>
          <w:rFonts w:cstheme="minorHAnsi"/>
          <w:lang w:val="en-IE"/>
        </w:rPr>
        <w:t xml:space="preserve">in a way that best suits the users of a particular system. </w:t>
      </w:r>
      <w:r w:rsidR="00F04958">
        <w:rPr>
          <w:rFonts w:cstheme="minorHAnsi"/>
          <w:lang w:val="en-IE"/>
        </w:rPr>
        <w:t>While providing for a</w:t>
      </w:r>
      <w:r w:rsidR="006A1778" w:rsidRPr="0059550D">
        <w:rPr>
          <w:rFonts w:cstheme="minorHAnsi"/>
          <w:lang w:val="en-IE"/>
        </w:rPr>
        <w:t xml:space="preserve"> large </w:t>
      </w:r>
      <w:r w:rsidR="002A35A3" w:rsidRPr="0059550D">
        <w:rPr>
          <w:rFonts w:cstheme="minorHAnsi"/>
          <w:lang w:val="en-IE"/>
        </w:rPr>
        <w:t xml:space="preserve">degree of freedom </w:t>
      </w:r>
      <w:r w:rsidR="006A1778" w:rsidRPr="0059550D">
        <w:rPr>
          <w:rFonts w:cstheme="minorHAnsi"/>
          <w:lang w:val="en-IE"/>
        </w:rPr>
        <w:t>for implementers, eForms still ensure  standard</w:t>
      </w:r>
      <w:r w:rsidR="00DA254D">
        <w:rPr>
          <w:rFonts w:cstheme="minorHAnsi"/>
          <w:lang w:val="en-IE"/>
        </w:rPr>
        <w:t xml:space="preserve"> based</w:t>
      </w:r>
      <w:r w:rsidR="006A1778" w:rsidRPr="0059550D">
        <w:rPr>
          <w:rFonts w:cstheme="minorHAnsi"/>
          <w:lang w:val="en-IE"/>
        </w:rPr>
        <w:t xml:space="preserve"> communication</w:t>
      </w:r>
      <w:r w:rsidR="00DA254D">
        <w:rPr>
          <w:rFonts w:cstheme="minorHAnsi"/>
          <w:lang w:val="en-IE"/>
        </w:rPr>
        <w:t xml:space="preserve"> (and publication) of related procurement data</w:t>
      </w:r>
      <w:r w:rsidR="006A1778" w:rsidRPr="0059550D">
        <w:rPr>
          <w:rFonts w:cstheme="minorHAnsi"/>
          <w:lang w:val="en-IE"/>
        </w:rPr>
        <w:t xml:space="preserve">. </w:t>
      </w:r>
    </w:p>
    <w:p w14:paraId="3E1C8AC8" w14:textId="77777777" w:rsidR="007C6F7A" w:rsidRPr="0059550D" w:rsidRDefault="007C6F7A" w:rsidP="004830E4">
      <w:pPr>
        <w:pStyle w:val="NoSpacing"/>
        <w:rPr>
          <w:rFonts w:cstheme="minorHAnsi"/>
          <w:lang w:val="en-IE"/>
        </w:rPr>
      </w:pPr>
    </w:p>
    <w:p w14:paraId="74FB8324" w14:textId="4FA3196F" w:rsidR="004830E4" w:rsidRPr="0059550D" w:rsidRDefault="00DA1B5C" w:rsidP="004830E4">
      <w:pPr>
        <w:pStyle w:val="NoSpacing"/>
        <w:rPr>
          <w:rFonts w:cstheme="minorHAnsi"/>
          <w:lang w:val="en-IE"/>
        </w:rPr>
      </w:pPr>
      <w:r w:rsidRPr="00750CDB">
        <w:rPr>
          <w:rFonts w:cstheme="minorHAnsi"/>
          <w:lang w:val="en-IE"/>
        </w:rPr>
        <w:t>At national level, i</w:t>
      </w:r>
      <w:r w:rsidR="00F04958" w:rsidRPr="00750CDB">
        <w:rPr>
          <w:rFonts w:cstheme="minorHAnsi"/>
          <w:lang w:val="en-IE"/>
        </w:rPr>
        <w:t>t should be possible to displ</w:t>
      </w:r>
      <w:r w:rsidR="002811F0" w:rsidRPr="00750CDB">
        <w:rPr>
          <w:rFonts w:cstheme="minorHAnsi"/>
          <w:lang w:val="en-IE"/>
        </w:rPr>
        <w:t>a</w:t>
      </w:r>
      <w:r w:rsidR="00F04958" w:rsidRPr="00750CDB">
        <w:rPr>
          <w:rFonts w:cstheme="minorHAnsi"/>
          <w:lang w:val="en-IE"/>
        </w:rPr>
        <w:t xml:space="preserve">y fields established in the eForms Regulation </w:t>
      </w:r>
      <w:r w:rsidR="0062042E" w:rsidRPr="00750CDB">
        <w:rPr>
          <w:rFonts w:cstheme="minorHAnsi"/>
          <w:lang w:val="en-IE"/>
        </w:rPr>
        <w:t xml:space="preserve">with </w:t>
      </w:r>
      <w:r w:rsidR="00AE29C1" w:rsidRPr="00750CDB">
        <w:rPr>
          <w:rFonts w:cstheme="minorHAnsi"/>
          <w:lang w:val="en-IE"/>
        </w:rPr>
        <w:t>a certain degree of flexibility,</w:t>
      </w:r>
      <w:r w:rsidR="00F04958" w:rsidRPr="00750CDB">
        <w:rPr>
          <w:rFonts w:cstheme="minorHAnsi"/>
          <w:lang w:val="en-IE"/>
        </w:rPr>
        <w:t xml:space="preserve"> as long as the labels’ meanings correspond with the description established by the Regulation. Moreover, in order to meet different needs, fields that the eForms Regulation establis</w:t>
      </w:r>
      <w:r w:rsidR="00902603" w:rsidRPr="00750CDB">
        <w:rPr>
          <w:rFonts w:cstheme="minorHAnsi"/>
          <w:lang w:val="en-IE"/>
        </w:rPr>
        <w:t xml:space="preserve">hes as </w:t>
      </w:r>
      <w:r w:rsidR="00902603" w:rsidRPr="00750CDB">
        <w:rPr>
          <w:rFonts w:cstheme="minorHAnsi"/>
          <w:b/>
          <w:lang w:val="en-IE"/>
        </w:rPr>
        <w:t>optional</w:t>
      </w:r>
      <w:r w:rsidR="00902603" w:rsidRPr="00750CDB">
        <w:rPr>
          <w:rFonts w:cstheme="minorHAnsi"/>
          <w:lang w:val="en-IE"/>
        </w:rPr>
        <w:t xml:space="preserve"> at the EU level may be made mandatory, or </w:t>
      </w:r>
      <w:r w:rsidR="002500F0" w:rsidRPr="00750CDB">
        <w:rPr>
          <w:rFonts w:cstheme="minorHAnsi"/>
          <w:lang w:val="en-IE"/>
        </w:rPr>
        <w:t>not used at all. It also means that almost all fields can change per lot</w:t>
      </w:r>
      <w:r w:rsidR="00902603" w:rsidRPr="00750CDB">
        <w:rPr>
          <w:rFonts w:cstheme="minorHAnsi"/>
          <w:lang w:val="en-IE"/>
        </w:rPr>
        <w:t>,</w:t>
      </w:r>
      <w:r w:rsidR="002500F0" w:rsidRPr="00750CDB">
        <w:rPr>
          <w:rFonts w:cstheme="minorHAnsi"/>
          <w:lang w:val="en-IE"/>
        </w:rPr>
        <w:t xml:space="preserve"> or not. Implementers can also </w:t>
      </w:r>
      <w:r w:rsidR="004A1DDC" w:rsidRPr="00750CDB">
        <w:rPr>
          <w:rFonts w:cstheme="minorHAnsi"/>
          <w:lang w:val="en-IE"/>
        </w:rPr>
        <w:t>control, in some cases, which answers can be used for specific codelists and how to deal with non-published information.</w:t>
      </w:r>
      <w:r w:rsidR="001744CE" w:rsidRPr="00750CDB">
        <w:rPr>
          <w:rFonts w:cstheme="minorHAnsi"/>
          <w:lang w:val="en-IE"/>
        </w:rPr>
        <w:t xml:space="preserve"> Finally, eForms can also be used for below-threshold procurement. These topics are the main subject of Chapter </w:t>
      </w:r>
      <w:r w:rsidR="001744CE" w:rsidRPr="00750CDB">
        <w:rPr>
          <w:rFonts w:cstheme="minorHAnsi"/>
          <w:lang w:val="en-IE"/>
        </w:rPr>
        <w:fldChar w:fldCharType="begin"/>
      </w:r>
      <w:r w:rsidR="001744CE" w:rsidRPr="00750CDB">
        <w:rPr>
          <w:rFonts w:cstheme="minorHAnsi"/>
          <w:lang w:val="en-IE"/>
        </w:rPr>
        <w:instrText xml:space="preserve"> REF _Ref18939261 \r \h </w:instrText>
      </w:r>
      <w:r w:rsidRPr="00750CDB">
        <w:rPr>
          <w:rFonts w:cstheme="minorHAnsi"/>
          <w:lang w:val="en-IE"/>
        </w:rPr>
        <w:instrText xml:space="preserve"> \* MERGEFORMAT </w:instrText>
      </w:r>
      <w:r w:rsidR="001744CE" w:rsidRPr="00750CDB">
        <w:rPr>
          <w:rFonts w:cstheme="minorHAnsi"/>
          <w:lang w:val="en-IE"/>
        </w:rPr>
      </w:r>
      <w:r w:rsidR="001744CE" w:rsidRPr="00750CDB">
        <w:rPr>
          <w:rFonts w:cstheme="minorHAnsi"/>
          <w:lang w:val="en-IE"/>
        </w:rPr>
        <w:fldChar w:fldCharType="separate"/>
      </w:r>
      <w:r w:rsidR="00031242" w:rsidRPr="00750CDB">
        <w:rPr>
          <w:rFonts w:cstheme="minorHAnsi"/>
          <w:lang w:val="en-IE"/>
        </w:rPr>
        <w:t>3</w:t>
      </w:r>
      <w:r w:rsidR="001744CE" w:rsidRPr="00750CDB">
        <w:rPr>
          <w:rFonts w:cstheme="minorHAnsi"/>
          <w:lang w:val="en-IE"/>
        </w:rPr>
        <w:fldChar w:fldCharType="end"/>
      </w:r>
      <w:r w:rsidR="001744CE" w:rsidRPr="00750CDB">
        <w:rPr>
          <w:rFonts w:cstheme="minorHAnsi"/>
          <w:lang w:val="en-IE"/>
        </w:rPr>
        <w:t xml:space="preserve">. </w:t>
      </w:r>
    </w:p>
    <w:p w14:paraId="35857E6B" w14:textId="5B1237B7" w:rsidR="004830E4" w:rsidRPr="0059550D" w:rsidRDefault="001E45B5" w:rsidP="004830E4">
      <w:pPr>
        <w:pStyle w:val="Heading3"/>
        <w:rPr>
          <w:lang w:val="en-IE"/>
        </w:rPr>
      </w:pPr>
      <w:bookmarkStart w:id="17" w:name="_Toc25684072"/>
      <w:r w:rsidRPr="0059550D">
        <w:rPr>
          <w:lang w:val="en-IE"/>
        </w:rPr>
        <w:t>Relevant</w:t>
      </w:r>
      <w:bookmarkEnd w:id="17"/>
    </w:p>
    <w:p w14:paraId="23EF1A2E" w14:textId="75EC70C5" w:rsidR="00C973D6" w:rsidRPr="0059550D" w:rsidRDefault="00C973D6" w:rsidP="00214E3A">
      <w:pPr>
        <w:pStyle w:val="NoSpacing"/>
        <w:rPr>
          <w:lang w:val="en-IE"/>
        </w:rPr>
      </w:pPr>
    </w:p>
    <w:p w14:paraId="67F3DDEB" w14:textId="0F8D0110" w:rsidR="00B224A4" w:rsidRPr="0059550D" w:rsidRDefault="004A5254" w:rsidP="00214E3A">
      <w:pPr>
        <w:pStyle w:val="NoSpacing"/>
        <w:rPr>
          <w:lang w:val="en-IE"/>
        </w:rPr>
      </w:pPr>
      <w:r w:rsidRPr="0059550D">
        <w:rPr>
          <w:lang w:val="en-IE"/>
        </w:rPr>
        <w:t xml:space="preserve">eForms </w:t>
      </w:r>
      <w:r w:rsidR="00B224A4" w:rsidRPr="0059550D">
        <w:rPr>
          <w:lang w:val="en-IE"/>
        </w:rPr>
        <w:t>allow collecting information on many political priorities. Th</w:t>
      </w:r>
      <w:r w:rsidR="00902603">
        <w:rPr>
          <w:lang w:val="en-IE"/>
        </w:rPr>
        <w:t>ese</w:t>
      </w:r>
      <w:r w:rsidR="00B224A4" w:rsidRPr="0059550D">
        <w:rPr>
          <w:lang w:val="en-IE"/>
        </w:rPr>
        <w:t xml:space="preserve"> include data on green, social and innovative procurement; as well as data useful for supporting SME participation in public procurement, fighting corruption (</w:t>
      </w:r>
      <w:r w:rsidR="00902603">
        <w:rPr>
          <w:lang w:val="en-IE"/>
        </w:rPr>
        <w:t>inc</w:t>
      </w:r>
      <w:r w:rsidR="002811F0">
        <w:rPr>
          <w:lang w:val="en-IE"/>
        </w:rPr>
        <w:t>l</w:t>
      </w:r>
      <w:r w:rsidR="00902603">
        <w:rPr>
          <w:lang w:val="en-IE"/>
        </w:rPr>
        <w:t>u</w:t>
      </w:r>
      <w:r w:rsidR="002811F0">
        <w:rPr>
          <w:lang w:val="en-IE"/>
        </w:rPr>
        <w:t>d</w:t>
      </w:r>
      <w:r w:rsidR="00902603">
        <w:rPr>
          <w:lang w:val="en-IE"/>
        </w:rPr>
        <w:t>ing</w:t>
      </w:r>
      <w:r w:rsidR="00B224A4" w:rsidRPr="0059550D">
        <w:rPr>
          <w:lang w:val="en-IE"/>
        </w:rPr>
        <w:t xml:space="preserve"> </w:t>
      </w:r>
      <w:r w:rsidR="00641180">
        <w:rPr>
          <w:lang w:val="en-IE"/>
        </w:rPr>
        <w:t xml:space="preserve">transparency concerning </w:t>
      </w:r>
      <w:r w:rsidR="00B224A4" w:rsidRPr="0059550D">
        <w:rPr>
          <w:lang w:val="en-IE"/>
        </w:rPr>
        <w:t xml:space="preserve">beneficial ownership) and collusion. </w:t>
      </w:r>
    </w:p>
    <w:p w14:paraId="178CFA31" w14:textId="00BE9043" w:rsidR="00807AE3" w:rsidRPr="0059550D" w:rsidRDefault="00906122" w:rsidP="00380973">
      <w:pPr>
        <w:pStyle w:val="Heading3"/>
        <w:rPr>
          <w:lang w:val="en-IE"/>
        </w:rPr>
      </w:pPr>
      <w:bookmarkStart w:id="18" w:name="_Toc25684073"/>
      <w:r w:rsidRPr="0059550D">
        <w:rPr>
          <w:lang w:val="en-IE"/>
        </w:rPr>
        <w:t>Clear</w:t>
      </w:r>
      <w:bookmarkEnd w:id="18"/>
      <w:r w:rsidR="00807AE3" w:rsidRPr="0059550D">
        <w:rPr>
          <w:lang w:val="en-IE"/>
        </w:rPr>
        <w:t xml:space="preserve"> </w:t>
      </w:r>
    </w:p>
    <w:p w14:paraId="1666DA6F" w14:textId="77777777" w:rsidR="00807AE3" w:rsidRPr="0059550D" w:rsidRDefault="00807AE3" w:rsidP="00807AE3">
      <w:pPr>
        <w:pStyle w:val="NoSpacing"/>
        <w:rPr>
          <w:lang w:val="en-IE"/>
        </w:rPr>
      </w:pPr>
    </w:p>
    <w:p w14:paraId="1A09E1C8" w14:textId="6EC7E21F" w:rsidR="00807AE3" w:rsidRPr="0059550D" w:rsidRDefault="00807AE3" w:rsidP="00807AE3">
      <w:pPr>
        <w:pStyle w:val="NoSpacing"/>
        <w:rPr>
          <w:lang w:val="en-IE"/>
        </w:rPr>
      </w:pPr>
      <w:r w:rsidRPr="0059550D">
        <w:rPr>
          <w:lang w:val="en-IE"/>
        </w:rPr>
        <w:t xml:space="preserve">eForms </w:t>
      </w:r>
      <w:r w:rsidR="0062042E">
        <w:rPr>
          <w:lang w:val="en-IE"/>
        </w:rPr>
        <w:t xml:space="preserve">provide </w:t>
      </w:r>
      <w:r w:rsidR="00EB26DF">
        <w:rPr>
          <w:lang w:val="en-IE"/>
        </w:rPr>
        <w:t>descriptions</w:t>
      </w:r>
      <w:r w:rsidR="0062042E">
        <w:rPr>
          <w:lang w:val="en-IE"/>
        </w:rPr>
        <w:t xml:space="preserve"> for </w:t>
      </w:r>
      <w:r w:rsidRPr="0059550D">
        <w:rPr>
          <w:lang w:val="en-IE"/>
        </w:rPr>
        <w:t xml:space="preserve">each field. </w:t>
      </w:r>
      <w:r w:rsidR="00F35371">
        <w:rPr>
          <w:lang w:val="en-IE"/>
        </w:rPr>
        <w:t>The work carried out with the EU and national stakehoders to harmonis</w:t>
      </w:r>
      <w:r w:rsidR="00A62571">
        <w:rPr>
          <w:lang w:val="en-IE"/>
        </w:rPr>
        <w:t>e the meaning of each field (as established in the eForms Regulation)</w:t>
      </w:r>
      <w:r w:rsidR="00F35371">
        <w:rPr>
          <w:lang w:val="en-IE"/>
        </w:rPr>
        <w:t>, coupled with better design and definition of the business rules</w:t>
      </w:r>
      <w:r w:rsidR="00A62571">
        <w:rPr>
          <w:lang w:val="en-IE"/>
        </w:rPr>
        <w:t xml:space="preserve"> will significantly improve data quality</w:t>
      </w:r>
      <w:r w:rsidR="00F35371">
        <w:rPr>
          <w:lang w:val="en-IE"/>
        </w:rPr>
        <w:t xml:space="preserve">. </w:t>
      </w:r>
      <w:r w:rsidRPr="0059550D">
        <w:rPr>
          <w:lang w:val="en-IE"/>
        </w:rPr>
        <w:t xml:space="preserve">This increases the usefulness of notices, because the accuracy of information is higher and all users can rely on a field containing the same information. Furthermore, it reduces administrative burden, because buyers do not waste time double-guessing what information should be included in a field. </w:t>
      </w:r>
    </w:p>
    <w:p w14:paraId="08276B3C" w14:textId="77777777" w:rsidR="00807AE3" w:rsidRPr="0059550D" w:rsidRDefault="00807AE3" w:rsidP="00807AE3">
      <w:pPr>
        <w:pStyle w:val="NoSpacing"/>
        <w:rPr>
          <w:lang w:val="en-IE"/>
        </w:rPr>
      </w:pPr>
    </w:p>
    <w:p w14:paraId="42A83FBC" w14:textId="1B44A475" w:rsidR="00672CC6" w:rsidRPr="0059550D" w:rsidRDefault="00906122" w:rsidP="004245C7">
      <w:pPr>
        <w:spacing w:line="276" w:lineRule="auto"/>
        <w:jc w:val="both"/>
        <w:rPr>
          <w:rFonts w:cstheme="minorHAnsi"/>
          <w:lang w:val="en-IE"/>
        </w:rPr>
      </w:pPr>
      <w:r w:rsidRPr="0059550D">
        <w:rPr>
          <w:rFonts w:cstheme="minorHAnsi"/>
          <w:lang w:val="en-IE"/>
        </w:rPr>
        <w:t>eForms’</w:t>
      </w:r>
      <w:r w:rsidR="004245C7" w:rsidRPr="0059550D">
        <w:rPr>
          <w:rFonts w:cstheme="minorHAnsi"/>
          <w:lang w:val="en-IE"/>
        </w:rPr>
        <w:t xml:space="preserve"> tables give an overview of all the types of forms and notices, allowing easier management of all the different documents.  </w:t>
      </w:r>
    </w:p>
    <w:p w14:paraId="44FC14AD" w14:textId="77777777" w:rsidR="00672CC6" w:rsidRPr="0059550D" w:rsidRDefault="00672CC6">
      <w:pPr>
        <w:spacing w:after="200" w:line="276" w:lineRule="auto"/>
        <w:rPr>
          <w:rFonts w:cstheme="minorHAnsi"/>
          <w:lang w:val="en-IE"/>
        </w:rPr>
      </w:pPr>
      <w:r w:rsidRPr="0059550D">
        <w:rPr>
          <w:rFonts w:cstheme="minorHAnsi"/>
          <w:lang w:val="en-IE"/>
        </w:rPr>
        <w:br w:type="page"/>
      </w:r>
    </w:p>
    <w:p w14:paraId="09614A6F" w14:textId="2FCEB232" w:rsidR="00232C49" w:rsidRPr="0059550D" w:rsidRDefault="00232C49" w:rsidP="00232C49">
      <w:pPr>
        <w:pStyle w:val="Heading1"/>
        <w:rPr>
          <w:lang w:val="en-IE"/>
        </w:rPr>
      </w:pPr>
      <w:bookmarkStart w:id="19" w:name="_Toc25684074"/>
      <w:bookmarkStart w:id="20" w:name="_Ref18939261"/>
      <w:r w:rsidRPr="0059550D">
        <w:rPr>
          <w:lang w:val="en-IE"/>
        </w:rPr>
        <w:lastRenderedPageBreak/>
        <w:t>Tailoring eForms</w:t>
      </w:r>
      <w:bookmarkEnd w:id="19"/>
      <w:r w:rsidRPr="0059550D">
        <w:rPr>
          <w:lang w:val="en-IE"/>
        </w:rPr>
        <w:t xml:space="preserve"> </w:t>
      </w:r>
      <w:bookmarkEnd w:id="20"/>
    </w:p>
    <w:p w14:paraId="74714163" w14:textId="77777777" w:rsidR="00232C49" w:rsidRPr="0059550D" w:rsidRDefault="00232C49" w:rsidP="00214E3A">
      <w:pPr>
        <w:pStyle w:val="NoSpacing"/>
        <w:rPr>
          <w:lang w:val="en-IE"/>
        </w:rPr>
      </w:pPr>
    </w:p>
    <w:p w14:paraId="1F675C7B" w14:textId="20323A08" w:rsidR="008B669A" w:rsidRPr="0059550D" w:rsidRDefault="008B669A" w:rsidP="008B669A">
      <w:pPr>
        <w:pStyle w:val="NoSpacing"/>
        <w:rPr>
          <w:lang w:val="en-IE"/>
        </w:rPr>
      </w:pPr>
      <w:r w:rsidRPr="0059550D">
        <w:rPr>
          <w:lang w:val="en-IE"/>
        </w:rPr>
        <w:t xml:space="preserve">eForms are not an “off the shelf” product that can </w:t>
      </w:r>
      <w:r w:rsidR="0039431C">
        <w:rPr>
          <w:lang w:val="en-IE"/>
        </w:rPr>
        <w:t xml:space="preserve">be </w:t>
      </w:r>
      <w:r w:rsidRPr="0059550D">
        <w:rPr>
          <w:lang w:val="en-IE"/>
        </w:rPr>
        <w:t xml:space="preserve">implemented only by IT developers. Instead, before developers start working, procurement policy decision-makers </w:t>
      </w:r>
      <w:r w:rsidR="0039431C">
        <w:rPr>
          <w:lang w:val="en-IE"/>
        </w:rPr>
        <w:t>have</w:t>
      </w:r>
      <w:r w:rsidR="0039431C" w:rsidRPr="0059550D">
        <w:rPr>
          <w:lang w:val="en-IE"/>
        </w:rPr>
        <w:t xml:space="preserve"> </w:t>
      </w:r>
      <w:r w:rsidRPr="0059550D">
        <w:rPr>
          <w:lang w:val="en-IE"/>
        </w:rPr>
        <w:t xml:space="preserve">to make a wide range of policy decisions on how eForms should be implemented. </w:t>
      </w:r>
    </w:p>
    <w:p w14:paraId="67B0BCFC" w14:textId="3FAAF323" w:rsidR="002E558C" w:rsidRPr="0059550D" w:rsidRDefault="002E558C" w:rsidP="008B669A">
      <w:pPr>
        <w:pStyle w:val="NoSpacing"/>
        <w:rPr>
          <w:lang w:val="en-IE"/>
        </w:rPr>
      </w:pPr>
    </w:p>
    <w:p w14:paraId="21A25286" w14:textId="644A4FF7" w:rsidR="006001B8" w:rsidRDefault="002E558C" w:rsidP="008B669A">
      <w:pPr>
        <w:pStyle w:val="NoSpacing"/>
        <w:rPr>
          <w:lang w:val="en-IE"/>
        </w:rPr>
      </w:pPr>
      <w:r w:rsidRPr="0059550D">
        <w:rPr>
          <w:lang w:val="en-IE"/>
        </w:rPr>
        <w:t xml:space="preserve">This tailoring </w:t>
      </w:r>
      <w:r w:rsidR="0039431C">
        <w:rPr>
          <w:lang w:val="en-IE"/>
        </w:rPr>
        <w:t xml:space="preserve">process </w:t>
      </w:r>
      <w:r w:rsidRPr="0059550D">
        <w:rPr>
          <w:lang w:val="en-IE"/>
        </w:rPr>
        <w:t xml:space="preserve">ensures that eForms </w:t>
      </w:r>
      <w:r w:rsidR="00ED3A85">
        <w:rPr>
          <w:lang w:val="en-IE"/>
        </w:rPr>
        <w:t xml:space="preserve">have </w:t>
      </w:r>
      <w:r w:rsidR="0039431C">
        <w:rPr>
          <w:lang w:val="en-IE"/>
        </w:rPr>
        <w:t xml:space="preserve">a </w:t>
      </w:r>
      <w:r w:rsidR="00ED3A85">
        <w:rPr>
          <w:lang w:val="en-IE"/>
        </w:rPr>
        <w:t xml:space="preserve">maximum positive impact </w:t>
      </w:r>
      <w:r w:rsidR="00B078CA" w:rsidRPr="0059550D">
        <w:rPr>
          <w:lang w:val="en-IE"/>
        </w:rPr>
        <w:t>in a specific context. This context consists of national legislation (e.g. rules going above the requirements of the procurement directives), national practice</w:t>
      </w:r>
      <w:r w:rsidR="0039431C">
        <w:rPr>
          <w:lang w:val="en-IE"/>
        </w:rPr>
        <w:t>s</w:t>
      </w:r>
      <w:r w:rsidR="00B078CA" w:rsidRPr="0059550D">
        <w:rPr>
          <w:lang w:val="en-IE"/>
        </w:rPr>
        <w:t xml:space="preserve"> (e.g. the extent to which different techniques are used) and policy-makers’ beliefs on what can make procurement better. Ideally, information on how </w:t>
      </w:r>
      <w:r w:rsidR="005521C0">
        <w:rPr>
          <w:lang w:val="en-IE"/>
        </w:rPr>
        <w:t xml:space="preserve">buyers </w:t>
      </w:r>
      <w:r w:rsidR="0039431C">
        <w:rPr>
          <w:lang w:val="en-IE"/>
        </w:rPr>
        <w:t xml:space="preserve">carry out their procurement activities </w:t>
      </w:r>
      <w:r w:rsidR="00B078CA" w:rsidRPr="0059550D">
        <w:rPr>
          <w:lang w:val="en-IE"/>
        </w:rPr>
        <w:t>should be based on actual data</w:t>
      </w:r>
      <w:r w:rsidR="00A11E0F" w:rsidRPr="0059550D">
        <w:rPr>
          <w:lang w:val="en-IE"/>
        </w:rPr>
        <w:t>, not only policy</w:t>
      </w:r>
      <w:r w:rsidR="0039431C">
        <w:rPr>
          <w:lang w:val="en-IE"/>
        </w:rPr>
        <w:t xml:space="preserve"> </w:t>
      </w:r>
      <w:r w:rsidR="00A11E0F" w:rsidRPr="0059550D">
        <w:rPr>
          <w:lang w:val="en-IE"/>
        </w:rPr>
        <w:t xml:space="preserve">makers’ </w:t>
      </w:r>
      <w:r w:rsidR="0039431C">
        <w:rPr>
          <w:lang w:val="en-IE"/>
        </w:rPr>
        <w:t>assumptions</w:t>
      </w:r>
      <w:r w:rsidR="00A11E0F" w:rsidRPr="0059550D">
        <w:rPr>
          <w:lang w:val="en-IE"/>
        </w:rPr>
        <w:t xml:space="preserve">. </w:t>
      </w:r>
    </w:p>
    <w:p w14:paraId="7A1158EE" w14:textId="77777777" w:rsidR="00B62C5C" w:rsidRDefault="00B62C5C" w:rsidP="008B669A">
      <w:pPr>
        <w:pStyle w:val="NoSpacing"/>
        <w:rPr>
          <w:lang w:val="en-IE"/>
        </w:rPr>
      </w:pPr>
    </w:p>
    <w:p w14:paraId="49F0A468" w14:textId="7CABF32D" w:rsidR="00B62C5C" w:rsidRPr="00B62C5C" w:rsidRDefault="00B62C5C" w:rsidP="00B62C5C">
      <w:pPr>
        <w:pStyle w:val="NoSpacing"/>
        <w:rPr>
          <w:lang w:val="en-IE"/>
        </w:rPr>
      </w:pPr>
      <w:r>
        <w:rPr>
          <w:lang w:val="en-IE"/>
        </w:rPr>
        <w:t xml:space="preserve">Tailoring activities at the national level will ensure harmonising requirements across forms (and stakeholders), resulting in common specifications to be implemented, thus reducing </w:t>
      </w:r>
      <w:r w:rsidRPr="00B62C5C">
        <w:rPr>
          <w:lang w:val="en-IE"/>
        </w:rPr>
        <w:t xml:space="preserve">IT development </w:t>
      </w:r>
      <w:r>
        <w:rPr>
          <w:lang w:val="en-IE"/>
        </w:rPr>
        <w:t>and</w:t>
      </w:r>
      <w:r w:rsidRPr="00B62C5C">
        <w:rPr>
          <w:lang w:val="en-IE"/>
        </w:rPr>
        <w:t xml:space="preserve"> maintenance</w:t>
      </w:r>
      <w:r>
        <w:rPr>
          <w:lang w:val="en-IE"/>
        </w:rPr>
        <w:t xml:space="preserve"> costs</w:t>
      </w:r>
      <w:r w:rsidRPr="00B62C5C">
        <w:rPr>
          <w:lang w:val="en-IE"/>
        </w:rPr>
        <w:t xml:space="preserve">, </w:t>
      </w:r>
      <w:r>
        <w:rPr>
          <w:lang w:val="en-IE"/>
        </w:rPr>
        <w:t xml:space="preserve">and more clarity for users. Tailoring is also an on-going process, and user feedback should always be collected, to ensure improvements over time. </w:t>
      </w:r>
    </w:p>
    <w:p w14:paraId="23A429A9" w14:textId="2732DAB7" w:rsidR="009E74A8" w:rsidRPr="0059550D" w:rsidRDefault="009E74A8" w:rsidP="008B669A">
      <w:pPr>
        <w:pStyle w:val="NoSpacing"/>
        <w:rPr>
          <w:lang w:val="en-IE"/>
        </w:rPr>
      </w:pPr>
    </w:p>
    <w:p w14:paraId="64FD5BB2" w14:textId="3618A8C8" w:rsidR="009E74A8" w:rsidRPr="0059550D" w:rsidRDefault="005532E8" w:rsidP="005B1441">
      <w:pPr>
        <w:jc w:val="both"/>
        <w:rPr>
          <w:lang w:val="en-IE"/>
        </w:rPr>
      </w:pPr>
      <w:r>
        <w:rPr>
          <w:lang w:val="en-IE"/>
        </w:rPr>
        <w:t>For a practical approach to tailoring</w:t>
      </w:r>
      <w:r w:rsidR="009E74A8" w:rsidRPr="0059550D">
        <w:rPr>
          <w:lang w:val="en-IE"/>
        </w:rPr>
        <w:t xml:space="preserve">, </w:t>
      </w:r>
      <w:r w:rsidR="00443893" w:rsidRPr="0059550D">
        <w:rPr>
          <w:lang w:val="en-IE"/>
        </w:rPr>
        <w:t>it may be useful</w:t>
      </w:r>
      <w:r w:rsidR="009E74A8" w:rsidRPr="0059550D">
        <w:rPr>
          <w:lang w:val="en-IE"/>
        </w:rPr>
        <w:t xml:space="preserve"> </w:t>
      </w:r>
      <w:r w:rsidR="00443893" w:rsidRPr="0059550D">
        <w:rPr>
          <w:lang w:val="en-IE"/>
        </w:rPr>
        <w:t>to tailor per</w:t>
      </w:r>
      <w:r w:rsidR="009E74A8" w:rsidRPr="0059550D">
        <w:rPr>
          <w:lang w:val="en-IE"/>
        </w:rPr>
        <w:t xml:space="preserve"> certain groups of notices. For example, tailoring can be done per form </w:t>
      </w:r>
      <w:r w:rsidR="00443893" w:rsidRPr="0059550D">
        <w:rPr>
          <w:lang w:val="en-IE"/>
        </w:rPr>
        <w:t>(e.g. competition form) and</w:t>
      </w:r>
      <w:r w:rsidR="009E74A8" w:rsidRPr="0059550D">
        <w:rPr>
          <w:lang w:val="en-IE"/>
        </w:rPr>
        <w:t xml:space="preserve"> legal regime (e.g. general regime, light regime, and, if </w:t>
      </w:r>
      <w:r w:rsidR="0042687C">
        <w:rPr>
          <w:lang w:val="en-IE"/>
        </w:rPr>
        <w:t xml:space="preserve">eForms are </w:t>
      </w:r>
      <w:r w:rsidR="00443893" w:rsidRPr="0059550D">
        <w:rPr>
          <w:lang w:val="en-IE"/>
        </w:rPr>
        <w:t>used</w:t>
      </w:r>
      <w:r w:rsidR="0042687C">
        <w:rPr>
          <w:lang w:val="en-IE"/>
        </w:rPr>
        <w:t xml:space="preserve"> there</w:t>
      </w:r>
      <w:r w:rsidR="009E74A8" w:rsidRPr="0059550D">
        <w:rPr>
          <w:lang w:val="en-IE"/>
        </w:rPr>
        <w:t xml:space="preserve">, below-threshold notices). </w:t>
      </w:r>
      <w:r w:rsidR="009624D4">
        <w:rPr>
          <w:lang w:val="en-IE"/>
        </w:rPr>
        <w:t xml:space="preserve"> </w:t>
      </w:r>
    </w:p>
    <w:p w14:paraId="7DF04187" w14:textId="77777777" w:rsidR="006001B8" w:rsidRPr="0059550D" w:rsidRDefault="006001B8" w:rsidP="008B669A">
      <w:pPr>
        <w:pStyle w:val="NoSpacing"/>
        <w:rPr>
          <w:lang w:val="en-IE"/>
        </w:rPr>
      </w:pPr>
    </w:p>
    <w:p w14:paraId="56754D11" w14:textId="05B8EF84" w:rsidR="009605AF" w:rsidRDefault="006001B8" w:rsidP="008B669A">
      <w:pPr>
        <w:pStyle w:val="NoSpacing"/>
        <w:rPr>
          <w:lang w:val="en-IE"/>
        </w:rPr>
      </w:pPr>
      <w:r w:rsidRPr="0059550D">
        <w:rPr>
          <w:lang w:val="en-IE"/>
        </w:rPr>
        <w:t>Section</w:t>
      </w:r>
      <w:r w:rsidR="004D3106" w:rsidRPr="0059550D">
        <w:rPr>
          <w:lang w:val="en-IE"/>
        </w:rPr>
        <w:t xml:space="preserve">s </w:t>
      </w:r>
      <w:r w:rsidR="004D3106" w:rsidRPr="0059550D">
        <w:rPr>
          <w:lang w:val="en-IE"/>
        </w:rPr>
        <w:fldChar w:fldCharType="begin"/>
      </w:r>
      <w:r w:rsidR="004D3106" w:rsidRPr="0059550D">
        <w:rPr>
          <w:lang w:val="en-IE"/>
        </w:rPr>
        <w:instrText xml:space="preserve"> REF _Ref19290241 \r \h </w:instrText>
      </w:r>
      <w:r w:rsidR="004D3106" w:rsidRPr="0059550D">
        <w:rPr>
          <w:lang w:val="en-IE"/>
        </w:rPr>
      </w:r>
      <w:r w:rsidR="004D3106" w:rsidRPr="0059550D">
        <w:rPr>
          <w:lang w:val="en-IE"/>
        </w:rPr>
        <w:fldChar w:fldCharType="separate"/>
      </w:r>
      <w:r w:rsidR="00031242">
        <w:rPr>
          <w:lang w:val="en-IE"/>
        </w:rPr>
        <w:t>3.1</w:t>
      </w:r>
      <w:r w:rsidR="004D3106" w:rsidRPr="0059550D">
        <w:rPr>
          <w:lang w:val="en-IE"/>
        </w:rPr>
        <w:fldChar w:fldCharType="end"/>
      </w:r>
      <w:r w:rsidR="004D3106" w:rsidRPr="0059550D">
        <w:rPr>
          <w:lang w:val="en-IE"/>
        </w:rPr>
        <w:t xml:space="preserve"> and </w:t>
      </w:r>
      <w:r w:rsidR="004D3106" w:rsidRPr="0059550D">
        <w:rPr>
          <w:lang w:val="en-IE"/>
        </w:rPr>
        <w:fldChar w:fldCharType="begin"/>
      </w:r>
      <w:r w:rsidR="004D3106" w:rsidRPr="0059550D">
        <w:rPr>
          <w:lang w:val="en-IE"/>
        </w:rPr>
        <w:instrText xml:space="preserve"> REF _Ref19290243 \r \h </w:instrText>
      </w:r>
      <w:r w:rsidR="004D3106" w:rsidRPr="0059550D">
        <w:rPr>
          <w:lang w:val="en-IE"/>
        </w:rPr>
      </w:r>
      <w:r w:rsidR="004D3106" w:rsidRPr="0059550D">
        <w:rPr>
          <w:lang w:val="en-IE"/>
        </w:rPr>
        <w:fldChar w:fldCharType="separate"/>
      </w:r>
      <w:r w:rsidR="00031242">
        <w:rPr>
          <w:lang w:val="en-IE"/>
        </w:rPr>
        <w:t>3.2</w:t>
      </w:r>
      <w:r w:rsidR="004D3106" w:rsidRPr="0059550D">
        <w:rPr>
          <w:lang w:val="en-IE"/>
        </w:rPr>
        <w:fldChar w:fldCharType="end"/>
      </w:r>
      <w:r w:rsidRPr="0059550D">
        <w:rPr>
          <w:lang w:val="en-IE"/>
        </w:rPr>
        <w:t xml:space="preserve"> </w:t>
      </w:r>
      <w:r w:rsidR="004D3106" w:rsidRPr="0059550D">
        <w:rPr>
          <w:lang w:val="en-IE"/>
        </w:rPr>
        <w:t xml:space="preserve">are cross-cutting. The former explains </w:t>
      </w:r>
      <w:r w:rsidRPr="0059550D">
        <w:rPr>
          <w:lang w:val="en-IE"/>
        </w:rPr>
        <w:t>the importance of including all the stakeholders around the table</w:t>
      </w:r>
      <w:r w:rsidR="004D3106" w:rsidRPr="0059550D">
        <w:rPr>
          <w:lang w:val="en-IE"/>
        </w:rPr>
        <w:t xml:space="preserve"> when making the relevant decisions; the latter summarizes important elements of the costs and benefits for each decision</w:t>
      </w:r>
      <w:r w:rsidRPr="0059550D">
        <w:rPr>
          <w:lang w:val="en-IE"/>
        </w:rPr>
        <w:t>.</w:t>
      </w:r>
      <w:r w:rsidR="004D3106" w:rsidRPr="0059550D">
        <w:rPr>
          <w:lang w:val="en-IE"/>
        </w:rPr>
        <w:t xml:space="preserve"> </w:t>
      </w:r>
      <w:r w:rsidRPr="0059550D">
        <w:rPr>
          <w:lang w:val="en-IE"/>
        </w:rPr>
        <w:t xml:space="preserve">The remaining sections </w:t>
      </w:r>
      <w:r w:rsidR="00CF3F57" w:rsidRPr="0059550D">
        <w:rPr>
          <w:lang w:val="en-IE"/>
        </w:rPr>
        <w:t xml:space="preserve">describe categories of tailoring decisions: use of eForms in non-mandatory situations, use of additional forms, tailoring fields, codelists, </w:t>
      </w:r>
      <w:r w:rsidR="0042687C">
        <w:rPr>
          <w:lang w:val="en-IE"/>
        </w:rPr>
        <w:t xml:space="preserve">identifiers, </w:t>
      </w:r>
      <w:r w:rsidR="00CF3F57" w:rsidRPr="0059550D">
        <w:rPr>
          <w:lang w:val="en-IE"/>
        </w:rPr>
        <w:t xml:space="preserve">business rules and </w:t>
      </w:r>
      <w:r w:rsidR="0042687C">
        <w:rPr>
          <w:lang w:val="en-IE"/>
        </w:rPr>
        <w:t>labels</w:t>
      </w:r>
      <w:r w:rsidR="00CF3F57" w:rsidRPr="0059550D">
        <w:rPr>
          <w:lang w:val="en-IE"/>
        </w:rPr>
        <w:t>. F</w:t>
      </w:r>
      <w:r w:rsidR="009605AF">
        <w:rPr>
          <w:lang w:val="en-IE"/>
        </w:rPr>
        <w:t>or section</w:t>
      </w:r>
      <w:r w:rsidR="00C6093E">
        <w:rPr>
          <w:lang w:val="en-IE"/>
        </w:rPr>
        <w:t xml:space="preserve"> </w:t>
      </w:r>
      <w:r w:rsidR="002811F0">
        <w:rPr>
          <w:lang w:val="en-IE"/>
        </w:rPr>
        <w:fldChar w:fldCharType="begin"/>
      </w:r>
      <w:r w:rsidR="002811F0">
        <w:rPr>
          <w:lang w:val="en-IE"/>
        </w:rPr>
        <w:instrText xml:space="preserve"> REF _Ref19291697 \r \h </w:instrText>
      </w:r>
      <w:r w:rsidR="002811F0">
        <w:rPr>
          <w:lang w:val="en-IE"/>
        </w:rPr>
      </w:r>
      <w:r w:rsidR="002811F0">
        <w:rPr>
          <w:lang w:val="en-IE"/>
        </w:rPr>
        <w:fldChar w:fldCharType="separate"/>
      </w:r>
      <w:r w:rsidR="00031242">
        <w:rPr>
          <w:lang w:val="en-IE"/>
        </w:rPr>
        <w:t>3.5</w:t>
      </w:r>
      <w:r w:rsidR="002811F0">
        <w:rPr>
          <w:lang w:val="en-IE"/>
        </w:rPr>
        <w:fldChar w:fldCharType="end"/>
      </w:r>
      <w:r w:rsidR="00C6093E">
        <w:rPr>
          <w:lang w:val="en-IE"/>
        </w:rPr>
        <w:t>,</w:t>
      </w:r>
      <w:r w:rsidR="009605AF">
        <w:rPr>
          <w:lang w:val="en-IE"/>
        </w:rPr>
        <w:t xml:space="preserve"> a list of decisions and arguments to consider is in </w:t>
      </w:r>
      <w:r w:rsidR="0014243A">
        <w:rPr>
          <w:lang w:val="en-IE"/>
        </w:rPr>
        <w:t>Checklist 1 – Tailoring fields,</w:t>
      </w:r>
      <w:r w:rsidR="009605AF">
        <w:rPr>
          <w:lang w:val="en-IE"/>
        </w:rPr>
        <w:t xml:space="preserve"> for section</w:t>
      </w:r>
      <w:r w:rsidR="002811F0">
        <w:rPr>
          <w:lang w:val="en-IE"/>
        </w:rPr>
        <w:t xml:space="preserve"> </w:t>
      </w:r>
      <w:r w:rsidR="002811F0">
        <w:rPr>
          <w:lang w:val="en-IE"/>
        </w:rPr>
        <w:fldChar w:fldCharType="begin"/>
      </w:r>
      <w:r w:rsidR="002811F0">
        <w:rPr>
          <w:lang w:val="en-IE"/>
        </w:rPr>
        <w:instrText xml:space="preserve"> REF _Ref19625627 \r \h </w:instrText>
      </w:r>
      <w:r w:rsidR="002811F0">
        <w:rPr>
          <w:lang w:val="en-IE"/>
        </w:rPr>
      </w:r>
      <w:r w:rsidR="002811F0">
        <w:rPr>
          <w:lang w:val="en-IE"/>
        </w:rPr>
        <w:fldChar w:fldCharType="separate"/>
      </w:r>
      <w:r w:rsidR="00031242">
        <w:rPr>
          <w:lang w:val="en-IE"/>
        </w:rPr>
        <w:t>3.6</w:t>
      </w:r>
      <w:r w:rsidR="002811F0">
        <w:rPr>
          <w:lang w:val="en-IE"/>
        </w:rPr>
        <w:fldChar w:fldCharType="end"/>
      </w:r>
      <w:r w:rsidR="00CF3F57" w:rsidRPr="0059550D">
        <w:rPr>
          <w:lang w:val="en-IE"/>
        </w:rPr>
        <w:t xml:space="preserve">, </w:t>
      </w:r>
      <w:r w:rsidR="009605AF">
        <w:rPr>
          <w:lang w:val="en-IE"/>
        </w:rPr>
        <w:t>such a list is in</w:t>
      </w:r>
      <w:r w:rsidR="0014243A">
        <w:rPr>
          <w:lang w:val="en-IE"/>
        </w:rPr>
        <w:t xml:space="preserve"> Checklist 2 – Tailoring codelists. </w:t>
      </w:r>
    </w:p>
    <w:p w14:paraId="25A122A2" w14:textId="02848A16" w:rsidR="00F16081" w:rsidRPr="0059550D" w:rsidRDefault="00F16081" w:rsidP="008B669A">
      <w:pPr>
        <w:pStyle w:val="NoSpacing"/>
        <w:rPr>
          <w:lang w:val="en-IE"/>
        </w:rPr>
      </w:pPr>
    </w:p>
    <w:p w14:paraId="77D6978A" w14:textId="524A2F82" w:rsidR="00F16081" w:rsidRPr="0059550D" w:rsidRDefault="005532E8" w:rsidP="008B669A">
      <w:pPr>
        <w:pStyle w:val="NoSpacing"/>
        <w:rPr>
          <w:lang w:val="en-IE"/>
        </w:rPr>
      </w:pPr>
      <w:r>
        <w:rPr>
          <w:lang w:val="en-IE"/>
        </w:rPr>
        <w:t>The t</w:t>
      </w:r>
      <w:r w:rsidR="00F16081" w:rsidRPr="0059550D">
        <w:rPr>
          <w:lang w:val="en-IE"/>
        </w:rPr>
        <w:t xml:space="preserve">ailoring </w:t>
      </w:r>
      <w:r>
        <w:rPr>
          <w:lang w:val="en-IE"/>
        </w:rPr>
        <w:t xml:space="preserve">activities should be carried out </w:t>
      </w:r>
      <w:r w:rsidR="00AF24C0">
        <w:rPr>
          <w:lang w:val="en-IE"/>
        </w:rPr>
        <w:t>before any technical implementation of eForms begins</w:t>
      </w:r>
      <w:r w:rsidR="00F16081" w:rsidRPr="0059550D">
        <w:rPr>
          <w:lang w:val="en-IE"/>
        </w:rPr>
        <w:t xml:space="preserve">. </w:t>
      </w:r>
    </w:p>
    <w:p w14:paraId="25EF09FA" w14:textId="71815EED" w:rsidR="00707890" w:rsidRPr="00336ACF" w:rsidRDefault="007E32AF" w:rsidP="00EB186D">
      <w:pPr>
        <w:pStyle w:val="Heading2"/>
        <w:rPr>
          <w:lang w:val="en-IE"/>
        </w:rPr>
      </w:pPr>
      <w:bookmarkStart w:id="21" w:name="_Toc25684075"/>
      <w:bookmarkStart w:id="22" w:name="_Ref18590631"/>
      <w:bookmarkStart w:id="23" w:name="_Ref18590643"/>
      <w:bookmarkStart w:id="24" w:name="_Ref18590650"/>
      <w:bookmarkStart w:id="25" w:name="_Ref18590654"/>
      <w:bookmarkStart w:id="26" w:name="_Ref18590659"/>
      <w:bookmarkStart w:id="27" w:name="_Ref18590661"/>
      <w:bookmarkStart w:id="28" w:name="_Ref18590669"/>
      <w:bookmarkStart w:id="29" w:name="_Ref19290241"/>
      <w:r w:rsidRPr="00336ACF">
        <w:rPr>
          <w:rFonts w:eastAsia="Times New Roman"/>
          <w:lang w:val="en-IE"/>
        </w:rPr>
        <w:t>G</w:t>
      </w:r>
      <w:r w:rsidR="00336ACF">
        <w:rPr>
          <w:rFonts w:eastAsia="Times New Roman"/>
          <w:lang w:val="en-IE"/>
        </w:rPr>
        <w:t>overnance</w:t>
      </w:r>
      <w:bookmarkEnd w:id="21"/>
      <w:r w:rsidR="00336ACF">
        <w:rPr>
          <w:rFonts w:eastAsia="Times New Roman"/>
          <w:lang w:val="en-IE"/>
        </w:rPr>
        <w:t xml:space="preserve"> </w:t>
      </w:r>
      <w:bookmarkStart w:id="30" w:name="_Toc434076665"/>
      <w:bookmarkStart w:id="31" w:name="_Toc434094675"/>
      <w:bookmarkEnd w:id="22"/>
      <w:bookmarkEnd w:id="23"/>
      <w:bookmarkEnd w:id="24"/>
      <w:bookmarkEnd w:id="25"/>
      <w:bookmarkEnd w:id="26"/>
      <w:bookmarkEnd w:id="27"/>
      <w:bookmarkEnd w:id="28"/>
      <w:bookmarkEnd w:id="29"/>
      <w:bookmarkEnd w:id="30"/>
      <w:bookmarkEnd w:id="31"/>
    </w:p>
    <w:p w14:paraId="5BCE8A66" w14:textId="1E9C319A" w:rsidR="0069480B" w:rsidRPr="0059550D" w:rsidRDefault="0069480B" w:rsidP="00214E3A">
      <w:pPr>
        <w:pStyle w:val="NoSpacing"/>
        <w:rPr>
          <w:lang w:val="en-IE"/>
        </w:rPr>
      </w:pPr>
      <w:r w:rsidRPr="0059550D">
        <w:rPr>
          <w:lang w:val="en-IE"/>
        </w:rPr>
        <w:t xml:space="preserve">The single most important step in tailoring eForms is making sure that all stakeholders are aware of the process and contribute with their point of view. </w:t>
      </w:r>
      <w:r w:rsidR="0028369F" w:rsidRPr="0059550D">
        <w:rPr>
          <w:lang w:val="en-IE"/>
        </w:rPr>
        <w:t xml:space="preserve">Only by taking into account all </w:t>
      </w:r>
      <w:r w:rsidR="008D704A">
        <w:rPr>
          <w:lang w:val="en-IE"/>
        </w:rPr>
        <w:t xml:space="preserve">eForms </w:t>
      </w:r>
      <w:r w:rsidR="0028369F" w:rsidRPr="0059550D">
        <w:rPr>
          <w:lang w:val="en-IE"/>
        </w:rPr>
        <w:t>users (see</w:t>
      </w:r>
      <w:r w:rsidR="008852C0">
        <w:rPr>
          <w:lang w:val="en-IE"/>
        </w:rPr>
        <w:t xml:space="preserve"> section</w:t>
      </w:r>
      <w:r w:rsidR="008D704A">
        <w:rPr>
          <w:lang w:val="en-IE"/>
        </w:rPr>
        <w:t xml:space="preserve"> </w:t>
      </w:r>
      <w:r w:rsidR="008D704A">
        <w:rPr>
          <w:lang w:val="en-IE"/>
        </w:rPr>
        <w:fldChar w:fldCharType="begin"/>
      </w:r>
      <w:r w:rsidR="008D704A">
        <w:rPr>
          <w:lang w:val="en-IE"/>
        </w:rPr>
        <w:instrText xml:space="preserve"> REF _Ref20750392 \r \h </w:instrText>
      </w:r>
      <w:r w:rsidR="008D704A">
        <w:rPr>
          <w:lang w:val="en-IE"/>
        </w:rPr>
      </w:r>
      <w:r w:rsidR="008D704A">
        <w:rPr>
          <w:lang w:val="en-IE"/>
        </w:rPr>
        <w:fldChar w:fldCharType="separate"/>
      </w:r>
      <w:r w:rsidR="00031242">
        <w:rPr>
          <w:lang w:val="en-IE"/>
        </w:rPr>
        <w:t>2.2</w:t>
      </w:r>
      <w:r w:rsidR="008D704A">
        <w:rPr>
          <w:lang w:val="en-IE"/>
        </w:rPr>
        <w:fldChar w:fldCharType="end"/>
      </w:r>
      <w:r w:rsidR="0028369F" w:rsidRPr="0059550D">
        <w:rPr>
          <w:lang w:val="en-IE"/>
        </w:rPr>
        <w:t xml:space="preserve">) </w:t>
      </w:r>
      <w:r w:rsidR="00A25C8C" w:rsidRPr="0059550D">
        <w:rPr>
          <w:lang w:val="en-IE"/>
        </w:rPr>
        <w:t xml:space="preserve">eForms </w:t>
      </w:r>
      <w:r w:rsidR="008852C0">
        <w:rPr>
          <w:lang w:val="en-IE"/>
        </w:rPr>
        <w:t xml:space="preserve">can </w:t>
      </w:r>
      <w:r w:rsidR="00A25C8C" w:rsidRPr="0059550D">
        <w:rPr>
          <w:lang w:val="en-IE"/>
        </w:rPr>
        <w:t>do the most good for national procurement</w:t>
      </w:r>
      <w:r w:rsidR="0028369F" w:rsidRPr="0059550D">
        <w:rPr>
          <w:lang w:val="en-IE"/>
        </w:rPr>
        <w:t>.</w:t>
      </w:r>
    </w:p>
    <w:p w14:paraId="3E0785F6" w14:textId="1E53B59A" w:rsidR="0069480B" w:rsidRPr="0059550D" w:rsidRDefault="00A25C8C" w:rsidP="00A25C8C">
      <w:pPr>
        <w:pStyle w:val="NoSpacing"/>
        <w:tabs>
          <w:tab w:val="left" w:pos="3030"/>
        </w:tabs>
        <w:rPr>
          <w:lang w:val="en-IE"/>
        </w:rPr>
      </w:pPr>
      <w:r w:rsidRPr="0059550D">
        <w:rPr>
          <w:lang w:val="en-IE"/>
        </w:rPr>
        <w:tab/>
      </w:r>
    </w:p>
    <w:p w14:paraId="5497D3D5" w14:textId="317BD8CA" w:rsidR="0069480B" w:rsidRPr="0059550D" w:rsidRDefault="00D45C02" w:rsidP="00214E3A">
      <w:pPr>
        <w:pStyle w:val="NoSpacing"/>
        <w:rPr>
          <w:lang w:val="en-IE"/>
        </w:rPr>
      </w:pPr>
      <w:r w:rsidRPr="0059550D">
        <w:rPr>
          <w:lang w:val="en-IE"/>
        </w:rPr>
        <w:t>In line with p</w:t>
      </w:r>
      <w:r w:rsidR="002B6BA0" w:rsidRPr="0059550D">
        <w:rPr>
          <w:lang w:val="en-IE"/>
        </w:rPr>
        <w:t xml:space="preserve">roject management methodologies, </w:t>
      </w:r>
      <w:r w:rsidRPr="0059550D">
        <w:rPr>
          <w:lang w:val="en-IE"/>
        </w:rPr>
        <w:t>such as the</w:t>
      </w:r>
      <w:r w:rsidR="002B6BA0" w:rsidRPr="0059550D">
        <w:rPr>
          <w:lang w:val="en-IE"/>
        </w:rPr>
        <w:t xml:space="preserve"> Commission’s </w:t>
      </w:r>
      <w:r w:rsidR="0093285A">
        <w:rPr>
          <w:lang w:val="en-IE"/>
        </w:rPr>
        <w:t>Project Management</w:t>
      </w:r>
      <w:r w:rsidR="002B6BA0" w:rsidRPr="0059550D">
        <w:rPr>
          <w:vertAlign w:val="superscript"/>
          <w:lang w:val="en-IE"/>
        </w:rPr>
        <w:t>2</w:t>
      </w:r>
      <w:r w:rsidR="002B6BA0" w:rsidRPr="0059550D">
        <w:rPr>
          <w:lang w:val="en-IE"/>
        </w:rPr>
        <w:t xml:space="preserve">, </w:t>
      </w:r>
      <w:r w:rsidRPr="0059550D">
        <w:rPr>
          <w:lang w:val="en-IE"/>
        </w:rPr>
        <w:t>a precondition for successful implementation is having a single person who is responsible for the overall coordination</w:t>
      </w:r>
      <w:r w:rsidR="0093285A">
        <w:rPr>
          <w:rStyle w:val="FootnoteReference"/>
          <w:lang w:val="en-IE"/>
        </w:rPr>
        <w:footnoteReference w:id="19"/>
      </w:r>
      <w:r w:rsidRPr="0059550D">
        <w:rPr>
          <w:lang w:val="en-IE"/>
        </w:rPr>
        <w:t xml:space="preserve">. </w:t>
      </w:r>
    </w:p>
    <w:p w14:paraId="2B35E2A3" w14:textId="5E4BA285" w:rsidR="002B6BA0" w:rsidRPr="0059550D" w:rsidRDefault="002B6BA0" w:rsidP="00214E3A">
      <w:pPr>
        <w:pStyle w:val="NoSpacing"/>
        <w:rPr>
          <w:lang w:val="en-IE"/>
        </w:rPr>
      </w:pPr>
    </w:p>
    <w:p w14:paraId="15A4BF1C" w14:textId="0D6BBA1E" w:rsidR="00F27A53" w:rsidRDefault="00F073F7" w:rsidP="00214E3A">
      <w:pPr>
        <w:pStyle w:val="NoSpacing"/>
        <w:rPr>
          <w:lang w:val="en-IE"/>
        </w:rPr>
      </w:pPr>
      <w:r w:rsidRPr="0059550D">
        <w:rPr>
          <w:lang w:val="en-IE"/>
        </w:rPr>
        <w:t xml:space="preserve">The </w:t>
      </w:r>
      <w:r w:rsidRPr="00A070B3">
        <w:rPr>
          <w:b/>
          <w:lang w:val="en-IE"/>
        </w:rPr>
        <w:t>stakeholders</w:t>
      </w:r>
      <w:r w:rsidR="00626D04" w:rsidRPr="0059550D">
        <w:rPr>
          <w:lang w:val="en-IE"/>
        </w:rPr>
        <w:t xml:space="preserve"> relevant for eForms differ </w:t>
      </w:r>
      <w:r w:rsidR="00A015FA">
        <w:rPr>
          <w:lang w:val="en-IE"/>
        </w:rPr>
        <w:t xml:space="preserve">from </w:t>
      </w:r>
      <w:r w:rsidR="00626D04" w:rsidRPr="0059550D">
        <w:rPr>
          <w:lang w:val="en-IE"/>
        </w:rPr>
        <w:t xml:space="preserve">country </w:t>
      </w:r>
      <w:r w:rsidR="00A015FA">
        <w:rPr>
          <w:lang w:val="en-IE"/>
        </w:rPr>
        <w:t xml:space="preserve">to </w:t>
      </w:r>
      <w:r w:rsidR="00626D04" w:rsidRPr="0059550D">
        <w:rPr>
          <w:lang w:val="en-IE"/>
        </w:rPr>
        <w:t xml:space="preserve">country. </w:t>
      </w:r>
      <w:r w:rsidR="00F27A53">
        <w:rPr>
          <w:lang w:val="en-IE"/>
        </w:rPr>
        <w:t xml:space="preserve">In general, </w:t>
      </w:r>
      <w:r w:rsidR="006116AD" w:rsidRPr="0059550D">
        <w:rPr>
          <w:lang w:val="en-IE"/>
        </w:rPr>
        <w:t xml:space="preserve">from the government side, </w:t>
      </w:r>
      <w:r w:rsidR="00626D04" w:rsidRPr="0059550D">
        <w:rPr>
          <w:lang w:val="en-IE"/>
        </w:rPr>
        <w:t>they would at least include</w:t>
      </w:r>
      <w:r w:rsidR="00F27A53">
        <w:rPr>
          <w:lang w:val="en-IE"/>
        </w:rPr>
        <w:t>:</w:t>
      </w:r>
    </w:p>
    <w:p w14:paraId="603F6F99" w14:textId="7164F02F" w:rsidR="00F27A53" w:rsidRDefault="00B87EE8" w:rsidP="00A070B3">
      <w:pPr>
        <w:pStyle w:val="NoSpacing"/>
        <w:numPr>
          <w:ilvl w:val="0"/>
          <w:numId w:val="60"/>
        </w:numPr>
        <w:rPr>
          <w:lang w:val="en-IE"/>
        </w:rPr>
      </w:pPr>
      <w:r w:rsidRPr="0059550D">
        <w:rPr>
          <w:lang w:val="en-IE"/>
        </w:rPr>
        <w:t>bodies responsible for procurement legislation and policy (incl. remedy bodies)</w:t>
      </w:r>
      <w:r w:rsidR="00F27A53">
        <w:rPr>
          <w:lang w:val="en-IE"/>
        </w:rPr>
        <w:t>;</w:t>
      </w:r>
    </w:p>
    <w:p w14:paraId="0FBB3A10" w14:textId="7B7C4AB3" w:rsidR="00F27A53" w:rsidRDefault="00F27A53" w:rsidP="00A070B3">
      <w:pPr>
        <w:pStyle w:val="NoSpacing"/>
        <w:numPr>
          <w:ilvl w:val="0"/>
          <w:numId w:val="60"/>
        </w:numPr>
        <w:rPr>
          <w:lang w:val="en-IE"/>
        </w:rPr>
      </w:pPr>
      <w:r>
        <w:rPr>
          <w:lang w:val="en-IE"/>
        </w:rPr>
        <w:t xml:space="preserve">entities responsible for </w:t>
      </w:r>
      <w:r w:rsidR="00B87EE8" w:rsidRPr="0059550D">
        <w:rPr>
          <w:lang w:val="en-IE"/>
        </w:rPr>
        <w:t>electronic procurement (incl. national official journals</w:t>
      </w:r>
      <w:r w:rsidR="006116AD" w:rsidRPr="0059550D">
        <w:rPr>
          <w:lang w:val="en-IE"/>
        </w:rPr>
        <w:t xml:space="preserve"> as well as those responsible for the ESPD and electronic invoicing</w:t>
      </w:r>
      <w:r w:rsidR="00B87EE8" w:rsidRPr="0059550D">
        <w:rPr>
          <w:lang w:val="en-IE"/>
        </w:rPr>
        <w:t>)</w:t>
      </w:r>
      <w:r>
        <w:rPr>
          <w:lang w:val="en-IE"/>
        </w:rPr>
        <w:t>;</w:t>
      </w:r>
    </w:p>
    <w:p w14:paraId="774FEDD0" w14:textId="4FC6AC26" w:rsidR="00F27A53" w:rsidRDefault="00B87EE8" w:rsidP="00A070B3">
      <w:pPr>
        <w:pStyle w:val="NoSpacing"/>
        <w:numPr>
          <w:ilvl w:val="0"/>
          <w:numId w:val="60"/>
        </w:numPr>
        <w:rPr>
          <w:lang w:val="en-IE"/>
        </w:rPr>
      </w:pPr>
      <w:r w:rsidRPr="0059550D">
        <w:rPr>
          <w:lang w:val="en-IE"/>
        </w:rPr>
        <w:t>sectoral ministries (e.g. those responsible for environmental, innovation and social policy</w:t>
      </w:r>
      <w:r w:rsidR="00AA7E89" w:rsidRPr="0059550D">
        <w:rPr>
          <w:lang w:val="en-IE"/>
        </w:rPr>
        <w:t>; EU funds</w:t>
      </w:r>
      <w:r w:rsidR="00395F47">
        <w:rPr>
          <w:lang w:val="en-IE"/>
        </w:rPr>
        <w:t>, defence</w:t>
      </w:r>
      <w:r w:rsidRPr="0059550D">
        <w:rPr>
          <w:lang w:val="en-IE"/>
        </w:rPr>
        <w:t>)</w:t>
      </w:r>
      <w:r w:rsidR="00F27A53">
        <w:rPr>
          <w:lang w:val="en-IE"/>
        </w:rPr>
        <w:t>;</w:t>
      </w:r>
    </w:p>
    <w:p w14:paraId="16C0B507" w14:textId="4A5461D9" w:rsidR="00F27A53" w:rsidRDefault="00A15C75" w:rsidP="00A070B3">
      <w:pPr>
        <w:pStyle w:val="NoSpacing"/>
        <w:numPr>
          <w:ilvl w:val="0"/>
          <w:numId w:val="60"/>
        </w:numPr>
        <w:rPr>
          <w:lang w:val="en-IE"/>
        </w:rPr>
      </w:pPr>
      <w:r w:rsidRPr="0059550D">
        <w:rPr>
          <w:lang w:val="en-IE"/>
        </w:rPr>
        <w:lastRenderedPageBreak/>
        <w:t>authorities responsible for coordinating eGovernment</w:t>
      </w:r>
      <w:r w:rsidR="00F27A53">
        <w:rPr>
          <w:lang w:val="en-IE"/>
        </w:rPr>
        <w:t>;</w:t>
      </w:r>
    </w:p>
    <w:p w14:paraId="1D9C6639" w14:textId="24F229F3" w:rsidR="00F27A53" w:rsidRDefault="00A15C75" w:rsidP="00A070B3">
      <w:pPr>
        <w:pStyle w:val="NoSpacing"/>
        <w:numPr>
          <w:ilvl w:val="0"/>
          <w:numId w:val="60"/>
        </w:numPr>
        <w:rPr>
          <w:lang w:val="en-IE"/>
        </w:rPr>
      </w:pPr>
      <w:r w:rsidRPr="0059550D">
        <w:rPr>
          <w:lang w:val="en-IE"/>
        </w:rPr>
        <w:t xml:space="preserve">the </w:t>
      </w:r>
      <w:r w:rsidR="00B87EE8" w:rsidRPr="0059550D">
        <w:rPr>
          <w:lang w:val="en-IE"/>
        </w:rPr>
        <w:t>court</w:t>
      </w:r>
      <w:r w:rsidR="00A070B3">
        <w:rPr>
          <w:lang w:val="en-IE"/>
        </w:rPr>
        <w:t>s</w:t>
      </w:r>
      <w:r w:rsidR="00B87EE8" w:rsidRPr="0059550D">
        <w:rPr>
          <w:lang w:val="en-IE"/>
        </w:rPr>
        <w:t xml:space="preserve"> of auditors</w:t>
      </w:r>
      <w:r w:rsidR="00F27A53">
        <w:rPr>
          <w:lang w:val="en-IE"/>
        </w:rPr>
        <w:t>;</w:t>
      </w:r>
      <w:r w:rsidR="00B87EE8" w:rsidRPr="0059550D">
        <w:rPr>
          <w:lang w:val="en-IE"/>
        </w:rPr>
        <w:t xml:space="preserve"> </w:t>
      </w:r>
    </w:p>
    <w:p w14:paraId="2FD44EEA" w14:textId="5AAE0ECE" w:rsidR="00F27A53" w:rsidRDefault="00B87EE8" w:rsidP="00A070B3">
      <w:pPr>
        <w:pStyle w:val="NoSpacing"/>
        <w:numPr>
          <w:ilvl w:val="0"/>
          <w:numId w:val="60"/>
        </w:numPr>
        <w:rPr>
          <w:lang w:val="en-IE"/>
        </w:rPr>
      </w:pPr>
      <w:r w:rsidRPr="0059550D">
        <w:rPr>
          <w:lang w:val="en-IE"/>
        </w:rPr>
        <w:t>anti-corruption authorities</w:t>
      </w:r>
      <w:r w:rsidR="00F27A53">
        <w:rPr>
          <w:lang w:val="en-IE"/>
        </w:rPr>
        <w:t>; and</w:t>
      </w:r>
    </w:p>
    <w:p w14:paraId="2D4876D0" w14:textId="627AE500" w:rsidR="00F27A53" w:rsidRDefault="00A15C75" w:rsidP="00A070B3">
      <w:pPr>
        <w:pStyle w:val="NoSpacing"/>
        <w:numPr>
          <w:ilvl w:val="0"/>
          <w:numId w:val="60"/>
        </w:numPr>
        <w:rPr>
          <w:lang w:val="en-IE"/>
        </w:rPr>
      </w:pPr>
      <w:r w:rsidRPr="0059550D">
        <w:rPr>
          <w:lang w:val="en-IE"/>
        </w:rPr>
        <w:t xml:space="preserve">anti-cartel departments of </w:t>
      </w:r>
      <w:r w:rsidR="00AA7E89" w:rsidRPr="0059550D">
        <w:rPr>
          <w:lang w:val="en-IE"/>
        </w:rPr>
        <w:t>competition aut</w:t>
      </w:r>
      <w:r w:rsidRPr="0059550D">
        <w:rPr>
          <w:lang w:val="en-IE"/>
        </w:rPr>
        <w:t>horities.</w:t>
      </w:r>
      <w:r w:rsidR="006116AD" w:rsidRPr="0059550D">
        <w:rPr>
          <w:lang w:val="en-IE"/>
        </w:rPr>
        <w:t xml:space="preserve"> </w:t>
      </w:r>
    </w:p>
    <w:p w14:paraId="2B37AB77" w14:textId="77777777" w:rsidR="00F27A53" w:rsidRDefault="00F27A53" w:rsidP="00214E3A">
      <w:pPr>
        <w:pStyle w:val="NoSpacing"/>
        <w:rPr>
          <w:lang w:val="en-IE"/>
        </w:rPr>
      </w:pPr>
    </w:p>
    <w:p w14:paraId="4CFC1985" w14:textId="77777777" w:rsidR="00F27A53" w:rsidRDefault="006116AD" w:rsidP="00214E3A">
      <w:pPr>
        <w:pStyle w:val="NoSpacing"/>
        <w:rPr>
          <w:lang w:val="en-IE"/>
        </w:rPr>
      </w:pPr>
      <w:r w:rsidRPr="0059550D">
        <w:rPr>
          <w:lang w:val="en-IE"/>
        </w:rPr>
        <w:t>From the non-government side, they should include</w:t>
      </w:r>
      <w:r w:rsidR="00F27A53">
        <w:rPr>
          <w:lang w:val="en-IE"/>
        </w:rPr>
        <w:t>:</w:t>
      </w:r>
      <w:r w:rsidRPr="0059550D">
        <w:rPr>
          <w:lang w:val="en-IE"/>
        </w:rPr>
        <w:t xml:space="preserve"> </w:t>
      </w:r>
    </w:p>
    <w:p w14:paraId="1383A12D" w14:textId="58CB3C7E" w:rsidR="00336ACF" w:rsidRDefault="00336ACF" w:rsidP="00A070B3">
      <w:pPr>
        <w:pStyle w:val="NoSpacing"/>
        <w:numPr>
          <w:ilvl w:val="0"/>
          <w:numId w:val="61"/>
        </w:numPr>
        <w:rPr>
          <w:lang w:val="en-IE"/>
        </w:rPr>
      </w:pPr>
      <w:r>
        <w:rPr>
          <w:lang w:val="en-IE"/>
        </w:rPr>
        <w:t>eSenders</w:t>
      </w:r>
      <w:r w:rsidR="00B03526">
        <w:rPr>
          <w:lang w:val="en-IE"/>
        </w:rPr>
        <w:t>;</w:t>
      </w:r>
    </w:p>
    <w:p w14:paraId="74809794" w14:textId="77C8ACAB" w:rsidR="00336ACF" w:rsidRDefault="00433F9C" w:rsidP="00A070B3">
      <w:pPr>
        <w:pStyle w:val="NoSpacing"/>
        <w:numPr>
          <w:ilvl w:val="0"/>
          <w:numId w:val="61"/>
        </w:numPr>
        <w:rPr>
          <w:lang w:val="en-IE"/>
        </w:rPr>
      </w:pPr>
      <w:r>
        <w:rPr>
          <w:lang w:val="en-IE"/>
        </w:rPr>
        <w:t>utilities</w:t>
      </w:r>
      <w:r w:rsidR="00B03526">
        <w:rPr>
          <w:lang w:val="en-IE"/>
        </w:rPr>
        <w:t>;</w:t>
      </w:r>
    </w:p>
    <w:p w14:paraId="6DD9745C" w14:textId="77777777" w:rsidR="00F27A53" w:rsidRDefault="006116AD" w:rsidP="00A070B3">
      <w:pPr>
        <w:pStyle w:val="NoSpacing"/>
        <w:numPr>
          <w:ilvl w:val="0"/>
          <w:numId w:val="61"/>
        </w:numPr>
        <w:rPr>
          <w:lang w:val="en-IE"/>
        </w:rPr>
      </w:pPr>
      <w:r w:rsidRPr="0059550D">
        <w:rPr>
          <w:lang w:val="en-IE"/>
        </w:rPr>
        <w:t>pu</w:t>
      </w:r>
      <w:r w:rsidR="001E5101" w:rsidRPr="0059550D">
        <w:rPr>
          <w:lang w:val="en-IE"/>
        </w:rPr>
        <w:t xml:space="preserve">blic and private eTendering providers; </w:t>
      </w:r>
    </w:p>
    <w:p w14:paraId="1138D99A" w14:textId="77777777" w:rsidR="00F27A53" w:rsidRDefault="00BC3B9A" w:rsidP="00A070B3">
      <w:pPr>
        <w:pStyle w:val="NoSpacing"/>
        <w:numPr>
          <w:ilvl w:val="0"/>
          <w:numId w:val="61"/>
        </w:numPr>
        <w:rPr>
          <w:lang w:val="en-IE"/>
        </w:rPr>
      </w:pPr>
      <w:r w:rsidRPr="0059550D">
        <w:rPr>
          <w:lang w:val="en-IE"/>
        </w:rPr>
        <w:t>business association representatives</w:t>
      </w:r>
      <w:r w:rsidR="00F27A53">
        <w:rPr>
          <w:lang w:val="en-IE"/>
        </w:rPr>
        <w:t>;</w:t>
      </w:r>
      <w:r w:rsidRPr="0059550D">
        <w:rPr>
          <w:lang w:val="en-IE"/>
        </w:rPr>
        <w:t xml:space="preserve"> </w:t>
      </w:r>
      <w:r w:rsidR="002F3C33" w:rsidRPr="0059550D">
        <w:rPr>
          <w:lang w:val="en-IE"/>
        </w:rPr>
        <w:t xml:space="preserve">and </w:t>
      </w:r>
    </w:p>
    <w:p w14:paraId="64901D15" w14:textId="40B9F198" w:rsidR="006116AD" w:rsidRPr="0059550D" w:rsidRDefault="002F3C33" w:rsidP="00A070B3">
      <w:pPr>
        <w:pStyle w:val="NoSpacing"/>
        <w:numPr>
          <w:ilvl w:val="0"/>
          <w:numId w:val="61"/>
        </w:numPr>
        <w:rPr>
          <w:lang w:val="en-IE"/>
        </w:rPr>
      </w:pPr>
      <w:r w:rsidRPr="0059550D">
        <w:rPr>
          <w:lang w:val="en-IE"/>
        </w:rPr>
        <w:t>NGOs interested in the matter.</w:t>
      </w:r>
    </w:p>
    <w:p w14:paraId="2BEBBAAC" w14:textId="63C63135" w:rsidR="003F6AF3" w:rsidRPr="0059550D" w:rsidRDefault="003F6AF3" w:rsidP="00214E3A">
      <w:pPr>
        <w:pStyle w:val="NoSpacing"/>
        <w:rPr>
          <w:lang w:val="en-IE"/>
        </w:rPr>
      </w:pPr>
    </w:p>
    <w:p w14:paraId="32ADA938" w14:textId="1B144E56" w:rsidR="00F27A53" w:rsidRPr="0059550D" w:rsidRDefault="005532E8" w:rsidP="00F27A53">
      <w:pPr>
        <w:pStyle w:val="NoSpacing"/>
        <w:rPr>
          <w:lang w:val="en-IE"/>
        </w:rPr>
      </w:pPr>
      <w:r>
        <w:rPr>
          <w:lang w:val="en-IE"/>
        </w:rPr>
        <w:t>T</w:t>
      </w:r>
      <w:r w:rsidR="00F27A53" w:rsidRPr="0059550D">
        <w:rPr>
          <w:lang w:val="en-IE"/>
        </w:rPr>
        <w:t>h</w:t>
      </w:r>
      <w:r w:rsidR="00F27A53">
        <w:rPr>
          <w:lang w:val="en-IE"/>
        </w:rPr>
        <w:t>e policy implementation</w:t>
      </w:r>
      <w:r w:rsidR="00F27A53" w:rsidRPr="0059550D">
        <w:rPr>
          <w:lang w:val="en-IE"/>
        </w:rPr>
        <w:t xml:space="preserve"> process may require several months</w:t>
      </w:r>
      <w:r>
        <w:rPr>
          <w:lang w:val="en-IE"/>
        </w:rPr>
        <w:t xml:space="preserve">. It </w:t>
      </w:r>
      <w:r w:rsidR="00F27A53" w:rsidRPr="0059550D">
        <w:rPr>
          <w:lang w:val="en-IE"/>
        </w:rPr>
        <w:t xml:space="preserve">is likely to be iterative and require close links with </w:t>
      </w:r>
      <w:r w:rsidR="00C164D0">
        <w:rPr>
          <w:lang w:val="en-IE"/>
        </w:rPr>
        <w:t xml:space="preserve">IT </w:t>
      </w:r>
      <w:r w:rsidR="00F27A53" w:rsidRPr="0059550D">
        <w:rPr>
          <w:lang w:val="en-IE"/>
        </w:rPr>
        <w:t xml:space="preserve">developers: once the development of the tailored eForms begins, new questions will be asked and further changes suggested, which the eForms decision-makers should take into account. </w:t>
      </w:r>
    </w:p>
    <w:p w14:paraId="2EB45ADF" w14:textId="77777777" w:rsidR="00F27A53" w:rsidRDefault="00F27A53" w:rsidP="00214E3A">
      <w:pPr>
        <w:pStyle w:val="NoSpacing"/>
        <w:rPr>
          <w:lang w:val="en-IE"/>
        </w:rPr>
      </w:pPr>
    </w:p>
    <w:p w14:paraId="37A7156A" w14:textId="22A647C7" w:rsidR="00E345D1" w:rsidRDefault="003F6AF3" w:rsidP="00214E3A">
      <w:pPr>
        <w:pStyle w:val="NoSpacing"/>
        <w:rPr>
          <w:lang w:val="en-IE"/>
        </w:rPr>
      </w:pPr>
      <w:r w:rsidRPr="0059550D">
        <w:rPr>
          <w:lang w:val="en-IE"/>
        </w:rPr>
        <w:t xml:space="preserve">Most decisions needed to tailor eForms are likely to be consensual and stem out of national context. </w:t>
      </w:r>
      <w:r w:rsidR="00FC7150" w:rsidRPr="0059550D">
        <w:rPr>
          <w:lang w:val="en-IE"/>
        </w:rPr>
        <w:t>However, in some cases,</w:t>
      </w:r>
      <w:r w:rsidR="00021E6C" w:rsidRPr="0059550D">
        <w:rPr>
          <w:lang w:val="en-IE"/>
        </w:rPr>
        <w:t xml:space="preserve"> decision-makers need to decide trade-offs. When doing so, it is important to keep in mind </w:t>
      </w:r>
      <w:r w:rsidR="00524B9B" w:rsidRPr="0059550D">
        <w:rPr>
          <w:lang w:val="en-IE"/>
        </w:rPr>
        <w:t xml:space="preserve">that </w:t>
      </w:r>
      <w:r w:rsidR="00021E6C" w:rsidRPr="00E345D1">
        <w:rPr>
          <w:lang w:val="en-IE"/>
        </w:rPr>
        <w:t>the</w:t>
      </w:r>
      <w:r w:rsidR="00021E6C" w:rsidRPr="0089130D">
        <w:rPr>
          <w:lang w:val="en-IE"/>
        </w:rPr>
        <w:t xml:space="preserve"> benefits </w:t>
      </w:r>
      <w:r w:rsidR="002823DD" w:rsidRPr="0089130D">
        <w:rPr>
          <w:lang w:val="en-IE"/>
        </w:rPr>
        <w:t xml:space="preserve">of </w:t>
      </w:r>
      <w:r w:rsidR="00021E6C" w:rsidRPr="0089130D">
        <w:rPr>
          <w:lang w:val="en-IE"/>
        </w:rPr>
        <w:t xml:space="preserve">collected data </w:t>
      </w:r>
      <w:r w:rsidR="002823DD" w:rsidRPr="0089130D">
        <w:rPr>
          <w:lang w:val="en-IE"/>
        </w:rPr>
        <w:t>fall on different entities</w:t>
      </w:r>
      <w:r w:rsidR="00F27A53" w:rsidRPr="0089130D">
        <w:rPr>
          <w:lang w:val="en-IE"/>
        </w:rPr>
        <w:t>,</w:t>
      </w:r>
      <w:r w:rsidR="00021E6C" w:rsidRPr="0089130D">
        <w:rPr>
          <w:lang w:val="en-IE"/>
        </w:rPr>
        <w:t xml:space="preserve"> </w:t>
      </w:r>
      <w:r w:rsidR="00A015FA" w:rsidRPr="0089130D">
        <w:rPr>
          <w:lang w:val="en-IE"/>
        </w:rPr>
        <w:t>compared to</w:t>
      </w:r>
      <w:r w:rsidR="00021E6C" w:rsidRPr="0089130D">
        <w:rPr>
          <w:lang w:val="en-IE"/>
        </w:rPr>
        <w:t xml:space="preserve"> the costs</w:t>
      </w:r>
      <w:r w:rsidR="00101548" w:rsidRPr="00E345D1">
        <w:rPr>
          <w:lang w:val="en-IE"/>
        </w:rPr>
        <w:t xml:space="preserve"> </w:t>
      </w:r>
      <w:r w:rsidR="00101548">
        <w:rPr>
          <w:lang w:val="en-IE"/>
        </w:rPr>
        <w:t xml:space="preserve">largely </w:t>
      </w:r>
      <w:r w:rsidR="0089130D">
        <w:rPr>
          <w:lang w:val="en-IE"/>
        </w:rPr>
        <w:t>born on</w:t>
      </w:r>
      <w:r w:rsidR="002838C0">
        <w:rPr>
          <w:lang w:val="en-IE"/>
        </w:rPr>
        <w:t xml:space="preserve"> </w:t>
      </w:r>
      <w:r w:rsidR="00E345D1">
        <w:rPr>
          <w:lang w:val="en-IE"/>
        </w:rPr>
        <w:t>the the buyers</w:t>
      </w:r>
      <w:r w:rsidR="00101548">
        <w:rPr>
          <w:lang w:val="en-IE"/>
        </w:rPr>
        <w:t xml:space="preserve"> </w:t>
      </w:r>
      <w:r w:rsidR="002823DD" w:rsidRPr="0059550D">
        <w:rPr>
          <w:lang w:val="en-IE"/>
        </w:rPr>
        <w:t>(who fill in notices) and e</w:t>
      </w:r>
      <w:r w:rsidR="00F11BEA">
        <w:rPr>
          <w:lang w:val="en-IE"/>
        </w:rPr>
        <w:t>P</w:t>
      </w:r>
      <w:r w:rsidR="002823DD" w:rsidRPr="0059550D">
        <w:rPr>
          <w:lang w:val="en-IE"/>
        </w:rPr>
        <w:t xml:space="preserve">rocurement providers (who provide the </w:t>
      </w:r>
      <w:r w:rsidR="00524B9B" w:rsidRPr="0059550D">
        <w:rPr>
          <w:lang w:val="en-IE"/>
        </w:rPr>
        <w:t>IT</w:t>
      </w:r>
      <w:r w:rsidR="002823DD" w:rsidRPr="0059550D">
        <w:rPr>
          <w:lang w:val="en-IE"/>
        </w:rPr>
        <w:t xml:space="preserve"> infrastructure). Furthermore, ministries responsible for public procurement deal with</w:t>
      </w:r>
      <w:r w:rsidR="00E345D1">
        <w:rPr>
          <w:lang w:val="en-IE"/>
        </w:rPr>
        <w:t xml:space="preserve"> </w:t>
      </w:r>
      <w:r w:rsidR="002823DD" w:rsidRPr="0059550D">
        <w:rPr>
          <w:lang w:val="en-IE"/>
        </w:rPr>
        <w:t>administrative</w:t>
      </w:r>
      <w:r w:rsidR="00E345D1">
        <w:rPr>
          <w:lang w:val="en-IE"/>
        </w:rPr>
        <w:t xml:space="preserve"> </w:t>
      </w:r>
      <w:r w:rsidR="002823DD" w:rsidRPr="0059550D">
        <w:rPr>
          <w:lang w:val="en-IE"/>
        </w:rPr>
        <w:t>costs of receiving complaints from buyers and e</w:t>
      </w:r>
      <w:r w:rsidR="00F11BEA">
        <w:rPr>
          <w:lang w:val="en-IE"/>
        </w:rPr>
        <w:t>P</w:t>
      </w:r>
      <w:r w:rsidR="002823DD" w:rsidRPr="0059550D">
        <w:rPr>
          <w:lang w:val="en-IE"/>
        </w:rPr>
        <w:t xml:space="preserve">rocurement providers if something goes wrong, the forms </w:t>
      </w:r>
      <w:r w:rsidR="00524B9B" w:rsidRPr="0059550D">
        <w:rPr>
          <w:lang w:val="en-IE"/>
        </w:rPr>
        <w:t>take too much time to fill in</w:t>
      </w:r>
      <w:r w:rsidR="002823DD" w:rsidRPr="0059550D">
        <w:rPr>
          <w:lang w:val="en-IE"/>
        </w:rPr>
        <w:t xml:space="preserve">, etc. </w:t>
      </w:r>
    </w:p>
    <w:p w14:paraId="6D7C8F86" w14:textId="77777777" w:rsidR="00E345D1" w:rsidRDefault="00E345D1" w:rsidP="00214E3A">
      <w:pPr>
        <w:pStyle w:val="NoSpacing"/>
        <w:rPr>
          <w:lang w:val="en-IE"/>
        </w:rPr>
      </w:pPr>
    </w:p>
    <w:p w14:paraId="0E3E9309" w14:textId="0479053D" w:rsidR="002823DD" w:rsidRPr="0059550D" w:rsidRDefault="002823DD" w:rsidP="00214E3A">
      <w:pPr>
        <w:pStyle w:val="NoSpacing"/>
        <w:rPr>
          <w:lang w:val="en-IE"/>
        </w:rPr>
      </w:pPr>
      <w:r w:rsidRPr="0059550D">
        <w:rPr>
          <w:lang w:val="en-IE"/>
        </w:rPr>
        <w:t xml:space="preserve">On the </w:t>
      </w:r>
      <w:r w:rsidR="00524B9B" w:rsidRPr="0059550D">
        <w:rPr>
          <w:lang w:val="en-IE"/>
        </w:rPr>
        <w:t>other hand</w:t>
      </w:r>
      <w:r w:rsidRPr="0059550D">
        <w:rPr>
          <w:lang w:val="en-IE"/>
        </w:rPr>
        <w:t xml:space="preserve">, benefits are dispersed – </w:t>
      </w:r>
      <w:r w:rsidR="00021E6C" w:rsidRPr="0059550D">
        <w:rPr>
          <w:lang w:val="en-IE"/>
        </w:rPr>
        <w:t>b</w:t>
      </w:r>
      <w:r w:rsidRPr="0059550D">
        <w:rPr>
          <w:lang w:val="en-IE"/>
        </w:rPr>
        <w:t xml:space="preserve">eneficiaries include </w:t>
      </w:r>
      <w:r w:rsidR="00021E6C" w:rsidRPr="0059550D">
        <w:rPr>
          <w:lang w:val="en-IE"/>
        </w:rPr>
        <w:t xml:space="preserve">other ministries, </w:t>
      </w:r>
      <w:r w:rsidRPr="0059550D">
        <w:rPr>
          <w:lang w:val="en-IE"/>
        </w:rPr>
        <w:t>companies, other buyers and any other re-users of the data such as business intelligence companies, citizens, NGOs, academics</w:t>
      </w:r>
      <w:r w:rsidR="00021E6C" w:rsidRPr="0059550D">
        <w:rPr>
          <w:lang w:val="en-IE"/>
        </w:rPr>
        <w:t xml:space="preserve">. </w:t>
      </w:r>
    </w:p>
    <w:p w14:paraId="37CC6943" w14:textId="77777777" w:rsidR="002823DD" w:rsidRPr="0059550D" w:rsidRDefault="002823DD" w:rsidP="00214E3A">
      <w:pPr>
        <w:pStyle w:val="NoSpacing"/>
        <w:rPr>
          <w:lang w:val="en-IE"/>
        </w:rPr>
      </w:pPr>
    </w:p>
    <w:p w14:paraId="500FBDCF" w14:textId="2EE6D385" w:rsidR="00FA4E6E" w:rsidRPr="0059550D" w:rsidRDefault="007A47CE" w:rsidP="00A070B3">
      <w:pPr>
        <w:pStyle w:val="NoSpacing"/>
        <w:rPr>
          <w:lang w:val="en-IE"/>
        </w:rPr>
      </w:pPr>
      <w:r w:rsidRPr="0059550D">
        <w:rPr>
          <w:lang w:val="en-IE"/>
        </w:rPr>
        <w:t>The only way to</w:t>
      </w:r>
      <w:r w:rsidR="002823DD" w:rsidRPr="0059550D">
        <w:rPr>
          <w:lang w:val="en-IE"/>
        </w:rPr>
        <w:t xml:space="preserve"> correctly </w:t>
      </w:r>
      <w:r w:rsidRPr="0059550D">
        <w:rPr>
          <w:lang w:val="en-IE"/>
        </w:rPr>
        <w:t xml:space="preserve">balance </w:t>
      </w:r>
      <w:r w:rsidR="002823DD" w:rsidRPr="0059550D">
        <w:rPr>
          <w:lang w:val="en-IE"/>
        </w:rPr>
        <w:t>the costs and benefits</w:t>
      </w:r>
      <w:r w:rsidRPr="0059550D">
        <w:rPr>
          <w:lang w:val="en-IE"/>
        </w:rPr>
        <w:t xml:space="preserve"> is to have</w:t>
      </w:r>
      <w:r w:rsidR="002823DD" w:rsidRPr="0059550D">
        <w:rPr>
          <w:lang w:val="en-IE"/>
        </w:rPr>
        <w:t xml:space="preserve"> inclusive discussions at national level, where </w:t>
      </w:r>
      <w:r w:rsidR="002823DD" w:rsidRPr="0059550D">
        <w:rPr>
          <w:b/>
          <w:lang w:val="en-IE"/>
        </w:rPr>
        <w:t>all the relevant stakeholders are around the table</w:t>
      </w:r>
      <w:r w:rsidR="002823DD" w:rsidRPr="0059550D">
        <w:rPr>
          <w:lang w:val="en-IE"/>
        </w:rPr>
        <w:t xml:space="preserve"> and agree on the overall priorities. </w:t>
      </w:r>
    </w:p>
    <w:p w14:paraId="0BEF4114" w14:textId="323BF908" w:rsidR="0055261A" w:rsidRPr="0059550D" w:rsidRDefault="0055261A" w:rsidP="006370F4">
      <w:pPr>
        <w:pStyle w:val="Heading2"/>
        <w:rPr>
          <w:lang w:val="en-IE"/>
        </w:rPr>
      </w:pPr>
      <w:bookmarkStart w:id="32" w:name="_Ref19290243"/>
      <w:bookmarkStart w:id="33" w:name="_Toc25684076"/>
      <w:r w:rsidRPr="0059550D">
        <w:rPr>
          <w:lang w:val="en-IE"/>
        </w:rPr>
        <w:t>Comparing costs and benefits</w:t>
      </w:r>
      <w:bookmarkEnd w:id="32"/>
      <w:bookmarkEnd w:id="33"/>
    </w:p>
    <w:p w14:paraId="1A1C765E" w14:textId="17BF062B" w:rsidR="0055261A" w:rsidRPr="0059550D" w:rsidRDefault="0055261A" w:rsidP="0055261A">
      <w:pPr>
        <w:pStyle w:val="NoSpacing"/>
        <w:rPr>
          <w:lang w:val="en-IE"/>
        </w:rPr>
      </w:pPr>
    </w:p>
    <w:p w14:paraId="7E41E720" w14:textId="06669EE0" w:rsidR="00CE6D86" w:rsidRPr="0059550D" w:rsidRDefault="00CE6D86" w:rsidP="00CE6D86">
      <w:pPr>
        <w:pStyle w:val="Text2"/>
        <w:ind w:left="0"/>
        <w:rPr>
          <w:rFonts w:asciiTheme="minorHAnsi" w:hAnsiTheme="minorHAnsi" w:cstheme="minorHAnsi"/>
          <w:sz w:val="22"/>
          <w:szCs w:val="22"/>
          <w:lang w:val="en-IE"/>
        </w:rPr>
      </w:pPr>
      <w:r w:rsidRPr="0059550D">
        <w:rPr>
          <w:rFonts w:asciiTheme="minorHAnsi" w:hAnsiTheme="minorHAnsi" w:cstheme="minorHAnsi"/>
          <w:sz w:val="22"/>
          <w:szCs w:val="22"/>
          <w:lang w:val="en-IE"/>
        </w:rPr>
        <w:t xml:space="preserve">Fields that are marked as optional in the eForms Implementing Regulation, can be implemented in technical solutions as mandatory, optional – or not used at all. </w:t>
      </w:r>
      <w:r w:rsidR="00C164D0">
        <w:rPr>
          <w:rFonts w:asciiTheme="minorHAnsi" w:hAnsiTheme="minorHAnsi" w:cstheme="minorHAnsi"/>
          <w:sz w:val="22"/>
          <w:szCs w:val="22"/>
          <w:lang w:val="en-IE"/>
        </w:rPr>
        <w:t>A</w:t>
      </w:r>
      <w:r w:rsidRPr="0059550D">
        <w:rPr>
          <w:rFonts w:asciiTheme="minorHAnsi" w:hAnsiTheme="minorHAnsi" w:cstheme="minorHAnsi"/>
          <w:sz w:val="22"/>
          <w:szCs w:val="22"/>
          <w:lang w:val="en-IE"/>
        </w:rPr>
        <w:t xml:space="preserve"> decision</w:t>
      </w:r>
      <w:r w:rsidR="00C164D0">
        <w:rPr>
          <w:rFonts w:asciiTheme="minorHAnsi" w:hAnsiTheme="minorHAnsi" w:cstheme="minorHAnsi"/>
          <w:sz w:val="22"/>
          <w:szCs w:val="22"/>
          <w:lang w:val="en-IE"/>
        </w:rPr>
        <w:t xml:space="preserve"> has to be made for each optional field and must be </w:t>
      </w:r>
      <w:r w:rsidR="00C164D0" w:rsidRPr="0059550D">
        <w:rPr>
          <w:rFonts w:asciiTheme="minorHAnsi" w:hAnsiTheme="minorHAnsi" w:cstheme="minorHAnsi"/>
          <w:sz w:val="22"/>
          <w:szCs w:val="22"/>
          <w:lang w:val="en-IE"/>
        </w:rPr>
        <w:t xml:space="preserve">based on careful comparison of the fields’ </w:t>
      </w:r>
      <w:r w:rsidR="00C164D0" w:rsidRPr="0059550D">
        <w:rPr>
          <w:rFonts w:asciiTheme="minorHAnsi" w:hAnsiTheme="minorHAnsi" w:cstheme="minorHAnsi"/>
          <w:b/>
          <w:sz w:val="22"/>
          <w:szCs w:val="22"/>
          <w:lang w:val="en-IE"/>
        </w:rPr>
        <w:t>costs</w:t>
      </w:r>
      <w:r w:rsidR="00C164D0" w:rsidRPr="0059550D">
        <w:rPr>
          <w:rFonts w:asciiTheme="minorHAnsi" w:hAnsiTheme="minorHAnsi" w:cstheme="minorHAnsi"/>
          <w:sz w:val="22"/>
          <w:szCs w:val="22"/>
          <w:lang w:val="en-IE"/>
        </w:rPr>
        <w:t xml:space="preserve"> and </w:t>
      </w:r>
      <w:r w:rsidR="00C164D0" w:rsidRPr="0059550D">
        <w:rPr>
          <w:rFonts w:asciiTheme="minorHAnsi" w:hAnsiTheme="minorHAnsi" w:cstheme="minorHAnsi"/>
          <w:b/>
          <w:sz w:val="22"/>
          <w:szCs w:val="22"/>
          <w:lang w:val="en-IE"/>
        </w:rPr>
        <w:t>benefits</w:t>
      </w:r>
      <w:r w:rsidR="00C164D0">
        <w:rPr>
          <w:rFonts w:asciiTheme="minorHAnsi" w:hAnsiTheme="minorHAnsi" w:cstheme="minorHAnsi"/>
          <w:b/>
          <w:sz w:val="22"/>
          <w:szCs w:val="22"/>
          <w:lang w:val="en-IE"/>
        </w:rPr>
        <w:t>.</w:t>
      </w:r>
      <w:r w:rsidR="00F11BEA">
        <w:rPr>
          <w:rFonts w:asciiTheme="minorHAnsi" w:hAnsiTheme="minorHAnsi" w:cstheme="minorHAnsi"/>
          <w:b/>
          <w:sz w:val="22"/>
          <w:szCs w:val="22"/>
          <w:lang w:val="en-IE"/>
        </w:rPr>
        <w:t xml:space="preserve"> </w:t>
      </w:r>
      <w:r w:rsidR="00F11BEA" w:rsidRPr="00EB186D">
        <w:rPr>
          <w:rFonts w:asciiTheme="minorHAnsi" w:hAnsiTheme="minorHAnsi" w:cstheme="minorHAnsi"/>
          <w:sz w:val="22"/>
          <w:szCs w:val="22"/>
          <w:lang w:val="en-IE"/>
        </w:rPr>
        <w:t>Checklist</w:t>
      </w:r>
      <w:r w:rsidRPr="0059550D">
        <w:rPr>
          <w:rFonts w:asciiTheme="minorHAnsi" w:hAnsiTheme="minorHAnsi" w:cstheme="minorHAnsi"/>
          <w:sz w:val="22"/>
          <w:szCs w:val="22"/>
          <w:lang w:val="en-IE"/>
        </w:rPr>
        <w:t xml:space="preserve"> </w:t>
      </w:r>
      <w:r w:rsidR="00F11BEA">
        <w:rPr>
          <w:rFonts w:asciiTheme="minorHAnsi" w:hAnsiTheme="minorHAnsi" w:cstheme="minorHAnsi"/>
          <w:sz w:val="22"/>
          <w:szCs w:val="22"/>
          <w:lang w:val="en-IE"/>
        </w:rPr>
        <w:t xml:space="preserve">I – Tailoring fields </w:t>
      </w:r>
      <w:r w:rsidR="00C164D0">
        <w:rPr>
          <w:rFonts w:asciiTheme="minorHAnsi" w:hAnsiTheme="minorHAnsi" w:cstheme="minorHAnsi"/>
          <w:sz w:val="22"/>
          <w:szCs w:val="22"/>
          <w:lang w:val="en-IE"/>
        </w:rPr>
        <w:t xml:space="preserve">provides policy makers with </w:t>
      </w:r>
      <w:r w:rsidR="00F11BEA">
        <w:rPr>
          <w:rFonts w:asciiTheme="minorHAnsi" w:hAnsiTheme="minorHAnsi" w:cstheme="minorHAnsi"/>
          <w:sz w:val="22"/>
          <w:szCs w:val="22"/>
          <w:lang w:val="en-IE"/>
        </w:rPr>
        <w:t>guidance</w:t>
      </w:r>
      <w:r w:rsidR="00C164D0">
        <w:rPr>
          <w:rFonts w:asciiTheme="minorHAnsi" w:hAnsiTheme="minorHAnsi" w:cstheme="minorHAnsi"/>
          <w:sz w:val="22"/>
          <w:szCs w:val="22"/>
          <w:lang w:val="en-IE"/>
        </w:rPr>
        <w:t xml:space="preserve"> to support the process</w:t>
      </w:r>
      <w:r w:rsidRPr="0059550D">
        <w:rPr>
          <w:rFonts w:asciiTheme="minorHAnsi" w:hAnsiTheme="minorHAnsi" w:cstheme="minorHAnsi"/>
          <w:sz w:val="22"/>
          <w:szCs w:val="22"/>
          <w:lang w:val="en-IE"/>
        </w:rPr>
        <w:t xml:space="preserve">. </w:t>
      </w:r>
      <w:r w:rsidR="00C164D0">
        <w:rPr>
          <w:rFonts w:asciiTheme="minorHAnsi" w:hAnsiTheme="minorHAnsi" w:cstheme="minorHAnsi"/>
          <w:sz w:val="22"/>
          <w:szCs w:val="22"/>
          <w:lang w:val="en-IE"/>
        </w:rPr>
        <w:t xml:space="preserve">Costs and benefits </w:t>
      </w:r>
      <w:r w:rsidRPr="0059550D">
        <w:rPr>
          <w:rFonts w:asciiTheme="minorHAnsi" w:hAnsiTheme="minorHAnsi" w:cstheme="minorHAnsi"/>
          <w:sz w:val="22"/>
          <w:szCs w:val="22"/>
          <w:lang w:val="en-IE"/>
        </w:rPr>
        <w:t>very much depend on each implementer</w:t>
      </w:r>
      <w:r w:rsidR="00A015FA">
        <w:rPr>
          <w:rFonts w:asciiTheme="minorHAnsi" w:hAnsiTheme="minorHAnsi" w:cstheme="minorHAnsi"/>
          <w:sz w:val="22"/>
          <w:szCs w:val="22"/>
          <w:lang w:val="en-IE"/>
        </w:rPr>
        <w:t>’</w:t>
      </w:r>
      <w:r w:rsidRPr="0059550D">
        <w:rPr>
          <w:rFonts w:asciiTheme="minorHAnsi" w:hAnsiTheme="minorHAnsi" w:cstheme="minorHAnsi"/>
          <w:sz w:val="22"/>
          <w:szCs w:val="22"/>
          <w:lang w:val="en-IE"/>
        </w:rPr>
        <w:t xml:space="preserve">s context.  </w:t>
      </w:r>
    </w:p>
    <w:p w14:paraId="414CBF4B" w14:textId="7FDB68F2" w:rsidR="00CE6D86" w:rsidRPr="0059550D" w:rsidRDefault="00CE6D86" w:rsidP="00CC49EA">
      <w:pPr>
        <w:jc w:val="both"/>
        <w:rPr>
          <w:lang w:val="en-IE"/>
        </w:rPr>
      </w:pPr>
      <w:r w:rsidRPr="0059550D">
        <w:rPr>
          <w:lang w:val="en-IE"/>
        </w:rPr>
        <w:t xml:space="preserve">The </w:t>
      </w:r>
      <w:r w:rsidRPr="0059550D">
        <w:rPr>
          <w:b/>
          <w:lang w:val="en-IE"/>
        </w:rPr>
        <w:t xml:space="preserve">benefits </w:t>
      </w:r>
      <w:r w:rsidRPr="0059550D">
        <w:rPr>
          <w:lang w:val="en-IE"/>
        </w:rPr>
        <w:t>depend on policy preferences. For example, some countries</w:t>
      </w:r>
      <w:r w:rsidR="00C164D0">
        <w:rPr>
          <w:lang w:val="en-IE"/>
        </w:rPr>
        <w:t>’</w:t>
      </w:r>
      <w:r w:rsidRPr="0059550D">
        <w:rPr>
          <w:lang w:val="en-IE"/>
        </w:rPr>
        <w:t xml:space="preserve"> main goal is to increase transparency, reduce corruption and fight collusion. Other countries emphasize the importance of green, social and innovative procurement. </w:t>
      </w:r>
      <w:r w:rsidR="00C164D0">
        <w:rPr>
          <w:lang w:val="en-IE"/>
        </w:rPr>
        <w:t>O</w:t>
      </w:r>
      <w:r w:rsidRPr="0059550D">
        <w:rPr>
          <w:lang w:val="en-IE"/>
        </w:rPr>
        <w:t xml:space="preserve">thers mainly want to minimize reporting obligations for public buyer at any cost. </w:t>
      </w:r>
    </w:p>
    <w:p w14:paraId="38538613" w14:textId="77777777" w:rsidR="00CE6D86" w:rsidRPr="0059550D" w:rsidRDefault="00CE6D86" w:rsidP="00CE6D86">
      <w:pPr>
        <w:rPr>
          <w:lang w:val="en-IE"/>
        </w:rPr>
      </w:pPr>
    </w:p>
    <w:p w14:paraId="774B5AF8" w14:textId="0A596867" w:rsidR="00CE6D86" w:rsidRPr="0059550D" w:rsidRDefault="00CE6D86" w:rsidP="005B1441">
      <w:pPr>
        <w:jc w:val="both"/>
        <w:rPr>
          <w:rFonts w:cstheme="minorHAnsi"/>
          <w:lang w:val="en-IE"/>
        </w:rPr>
      </w:pPr>
      <w:r w:rsidRPr="0059550D">
        <w:rPr>
          <w:lang w:val="en-IE"/>
        </w:rPr>
        <w:t xml:space="preserve">The </w:t>
      </w:r>
      <w:r w:rsidRPr="0059550D">
        <w:rPr>
          <w:b/>
          <w:lang w:val="en-IE"/>
        </w:rPr>
        <w:t>costs</w:t>
      </w:r>
      <w:r w:rsidRPr="0059550D">
        <w:rPr>
          <w:lang w:val="en-IE"/>
        </w:rPr>
        <w:t xml:space="preserve"> mainly depend on IT infrastructure</w:t>
      </w:r>
      <w:r w:rsidR="00C164D0">
        <w:rPr>
          <w:lang w:val="en-IE"/>
        </w:rPr>
        <w:t>.</w:t>
      </w:r>
      <w:r w:rsidRPr="0059550D">
        <w:rPr>
          <w:lang w:val="en-IE"/>
        </w:rPr>
        <w:t xml:space="preserve"> </w:t>
      </w:r>
      <w:r w:rsidR="00C164D0">
        <w:rPr>
          <w:lang w:val="en-IE"/>
        </w:rPr>
        <w:t>I</w:t>
      </w:r>
      <w:r w:rsidRPr="0059550D">
        <w:rPr>
          <w:lang w:val="en-IE"/>
        </w:rPr>
        <w:t xml:space="preserve">n some countries, certain data can be prefilled automatically for all users </w:t>
      </w:r>
      <w:r w:rsidRPr="002A7576">
        <w:rPr>
          <w:lang w:val="en-IE"/>
        </w:rPr>
        <w:t xml:space="preserve">while in others it </w:t>
      </w:r>
      <w:r w:rsidR="00D43F19">
        <w:rPr>
          <w:lang w:val="en-IE"/>
        </w:rPr>
        <w:t>may not be possible</w:t>
      </w:r>
      <w:r w:rsidRPr="0059550D">
        <w:rPr>
          <w:lang w:val="en-IE"/>
        </w:rPr>
        <w:t xml:space="preserve">. </w:t>
      </w:r>
      <w:r w:rsidR="00C164D0">
        <w:rPr>
          <w:lang w:val="en-IE"/>
        </w:rPr>
        <w:t>T</w:t>
      </w:r>
      <w:r w:rsidRPr="0059550D">
        <w:rPr>
          <w:lang w:val="en-IE"/>
        </w:rPr>
        <w:t xml:space="preserve">his </w:t>
      </w:r>
      <w:r w:rsidR="00C164D0">
        <w:rPr>
          <w:lang w:val="en-IE"/>
        </w:rPr>
        <w:t xml:space="preserve">mainly </w:t>
      </w:r>
      <w:r w:rsidRPr="0059550D">
        <w:rPr>
          <w:lang w:val="en-IE"/>
        </w:rPr>
        <w:t>concerns e</w:t>
      </w:r>
      <w:r w:rsidR="00C164D0">
        <w:rPr>
          <w:lang w:val="en-IE"/>
        </w:rPr>
        <w:t>T</w:t>
      </w:r>
      <w:r w:rsidRPr="0059550D">
        <w:rPr>
          <w:lang w:val="en-IE"/>
        </w:rPr>
        <w:t>endering systems</w:t>
      </w:r>
      <w:r w:rsidR="00AF7C57">
        <w:rPr>
          <w:lang w:val="en-IE"/>
        </w:rPr>
        <w:t>,</w:t>
      </w:r>
      <w:r w:rsidRPr="0059550D">
        <w:rPr>
          <w:lang w:val="en-IE"/>
        </w:rPr>
        <w:t xml:space="preserve"> </w:t>
      </w:r>
      <w:r w:rsidR="00AF7C57">
        <w:rPr>
          <w:lang w:val="en-IE"/>
        </w:rPr>
        <w:t>whose data</w:t>
      </w:r>
      <w:r w:rsidRPr="0059550D">
        <w:rPr>
          <w:lang w:val="en-IE"/>
        </w:rPr>
        <w:t xml:space="preserve"> can be used to fill-in the form (e.g. preparing procurement documents, eSubmission, eEvaluation). Additionally, this also concerns other e</w:t>
      </w:r>
      <w:r w:rsidR="00AF7C57">
        <w:rPr>
          <w:lang w:val="en-IE"/>
        </w:rPr>
        <w:t>G</w:t>
      </w:r>
      <w:r w:rsidRPr="0059550D">
        <w:rPr>
          <w:lang w:val="en-IE"/>
        </w:rPr>
        <w:t>overnment systems related to procurement (e.g. business registries, EU fund systems). For more information, see</w:t>
      </w:r>
      <w:r w:rsidR="000A6F4E">
        <w:rPr>
          <w:lang w:val="en-IE"/>
        </w:rPr>
        <w:t xml:space="preserve"> section 4.1.3. </w:t>
      </w:r>
    </w:p>
    <w:p w14:paraId="20EDD4A8" w14:textId="77777777" w:rsidR="00CE6D86" w:rsidRPr="0059550D" w:rsidRDefault="00CE6D86" w:rsidP="005B1441">
      <w:pPr>
        <w:jc w:val="both"/>
        <w:rPr>
          <w:lang w:val="en-IE"/>
        </w:rPr>
      </w:pPr>
    </w:p>
    <w:p w14:paraId="5F03EE8C" w14:textId="0D512EA5" w:rsidR="00CE6D86" w:rsidRPr="0059550D" w:rsidRDefault="00CE6D86" w:rsidP="00CE6D86">
      <w:pPr>
        <w:rPr>
          <w:rFonts w:cstheme="minorHAnsi"/>
          <w:lang w:val="en-IE"/>
        </w:rPr>
      </w:pPr>
      <w:r w:rsidRPr="0059550D">
        <w:rPr>
          <w:rFonts w:cstheme="minorHAnsi"/>
          <w:lang w:val="en-IE"/>
        </w:rPr>
        <w:lastRenderedPageBreak/>
        <w:t>Furthermore</w:t>
      </w:r>
      <w:r w:rsidR="00375A9D" w:rsidRPr="0059550D">
        <w:rPr>
          <w:rFonts w:cstheme="minorHAnsi"/>
          <w:lang w:val="en-IE"/>
        </w:rPr>
        <w:t>,</w:t>
      </w:r>
      <w:r w:rsidR="00375A9D">
        <w:rPr>
          <w:rFonts w:cstheme="minorHAnsi"/>
          <w:lang w:val="en-IE"/>
        </w:rPr>
        <w:t xml:space="preserve"> the following </w:t>
      </w:r>
      <w:r w:rsidRPr="007B0420">
        <w:rPr>
          <w:rFonts w:cstheme="minorHAnsi"/>
          <w:lang w:val="en-IE"/>
        </w:rPr>
        <w:t>general</w:t>
      </w:r>
      <w:r w:rsidRPr="00375A9D">
        <w:rPr>
          <w:rFonts w:cstheme="minorHAnsi"/>
          <w:lang w:val="en-IE"/>
        </w:rPr>
        <w:t xml:space="preserve"> considerations</w:t>
      </w:r>
      <w:r w:rsidRPr="0059550D">
        <w:rPr>
          <w:rFonts w:cstheme="minorHAnsi"/>
          <w:lang w:val="en-IE"/>
        </w:rPr>
        <w:t xml:space="preserve"> should be </w:t>
      </w:r>
      <w:r w:rsidR="00375A9D">
        <w:rPr>
          <w:rFonts w:cstheme="minorHAnsi"/>
          <w:lang w:val="en-IE"/>
        </w:rPr>
        <w:t>taken into account</w:t>
      </w:r>
      <w:r w:rsidRPr="0059550D">
        <w:rPr>
          <w:rFonts w:cstheme="minorHAnsi"/>
          <w:lang w:val="en-IE"/>
        </w:rPr>
        <w:t>:</w:t>
      </w:r>
    </w:p>
    <w:p w14:paraId="34E34F92" w14:textId="3FA7EE78" w:rsidR="00CE6D86" w:rsidRPr="0059550D" w:rsidRDefault="00CE6D86" w:rsidP="00DC6C47">
      <w:pPr>
        <w:pStyle w:val="Text2"/>
        <w:numPr>
          <w:ilvl w:val="0"/>
          <w:numId w:val="16"/>
        </w:numPr>
        <w:spacing w:after="0"/>
        <w:rPr>
          <w:rFonts w:asciiTheme="minorHAnsi" w:hAnsiTheme="minorHAnsi" w:cstheme="minorHAnsi"/>
          <w:sz w:val="22"/>
          <w:szCs w:val="22"/>
          <w:lang w:val="en-IE"/>
        </w:rPr>
      </w:pPr>
      <w:r w:rsidRPr="0059550D">
        <w:rPr>
          <w:rFonts w:asciiTheme="minorHAnsi" w:hAnsiTheme="minorHAnsi" w:cstheme="minorHAnsi"/>
          <w:sz w:val="22"/>
          <w:szCs w:val="22"/>
          <w:lang w:val="en-IE"/>
        </w:rPr>
        <w:t xml:space="preserve">Compared to other procurement </w:t>
      </w:r>
      <w:r w:rsidR="00AF7C57">
        <w:rPr>
          <w:rFonts w:asciiTheme="minorHAnsi" w:hAnsiTheme="minorHAnsi" w:cstheme="minorHAnsi"/>
          <w:sz w:val="22"/>
          <w:szCs w:val="22"/>
          <w:lang w:val="en-IE"/>
        </w:rPr>
        <w:t>activities,</w:t>
      </w:r>
      <w:r w:rsidRPr="0059550D">
        <w:rPr>
          <w:rFonts w:asciiTheme="minorHAnsi" w:hAnsiTheme="minorHAnsi" w:cstheme="minorHAnsi"/>
          <w:sz w:val="22"/>
          <w:szCs w:val="22"/>
          <w:lang w:val="en-IE"/>
        </w:rPr>
        <w:t xml:space="preserve"> such as preparing procurement documents, evaluating bids, etc., the time spent on filling forms is marginal. Similarly, the cost of time dedicated to filling forms pales compared to the amounts of taxpayers’ money being spent</w:t>
      </w:r>
      <w:r w:rsidR="00AF7C57">
        <w:rPr>
          <w:rFonts w:asciiTheme="minorHAnsi" w:hAnsiTheme="minorHAnsi" w:cstheme="minorHAnsi"/>
          <w:sz w:val="22"/>
          <w:szCs w:val="22"/>
          <w:lang w:val="en-IE"/>
        </w:rPr>
        <w:t xml:space="preserve"> in public procurement</w:t>
      </w:r>
      <w:r w:rsidRPr="0059550D">
        <w:rPr>
          <w:rFonts w:asciiTheme="minorHAnsi" w:hAnsiTheme="minorHAnsi" w:cstheme="minorHAnsi"/>
          <w:sz w:val="22"/>
          <w:szCs w:val="22"/>
          <w:lang w:val="en-IE"/>
        </w:rPr>
        <w:t xml:space="preserve">. Consequently, benefits of data-driven management and transparency often outweigh the costs of collecting more information. </w:t>
      </w:r>
    </w:p>
    <w:p w14:paraId="0F705E4C" w14:textId="623EF74F" w:rsidR="00CE6D86" w:rsidRPr="0059550D" w:rsidRDefault="003E5F2A" w:rsidP="00DC6C47">
      <w:pPr>
        <w:pStyle w:val="Text2"/>
        <w:numPr>
          <w:ilvl w:val="0"/>
          <w:numId w:val="16"/>
        </w:numPr>
        <w:spacing w:after="0"/>
        <w:rPr>
          <w:rFonts w:asciiTheme="minorHAnsi" w:hAnsiTheme="minorHAnsi" w:cstheme="minorHAnsi"/>
          <w:sz w:val="22"/>
          <w:szCs w:val="22"/>
          <w:lang w:val="en-IE"/>
        </w:rPr>
      </w:pPr>
      <w:r>
        <w:rPr>
          <w:rFonts w:asciiTheme="minorHAnsi" w:hAnsiTheme="minorHAnsi" w:cstheme="minorHAnsi"/>
          <w:sz w:val="22"/>
          <w:szCs w:val="22"/>
          <w:lang w:val="en-IE"/>
        </w:rPr>
        <w:t>E</w:t>
      </w:r>
      <w:r w:rsidR="00CE6D86" w:rsidRPr="0059550D">
        <w:rPr>
          <w:rFonts w:asciiTheme="minorHAnsi" w:hAnsiTheme="minorHAnsi" w:cstheme="minorHAnsi"/>
          <w:sz w:val="22"/>
          <w:szCs w:val="22"/>
          <w:lang w:val="en-IE"/>
        </w:rPr>
        <w:t>xperience shows that as manually filled information increases, its quality goes down</w:t>
      </w:r>
      <w:r w:rsidR="00CA48F2">
        <w:rPr>
          <w:rFonts w:asciiTheme="minorHAnsi" w:hAnsiTheme="minorHAnsi" w:cstheme="minorHAnsi"/>
          <w:sz w:val="22"/>
          <w:szCs w:val="22"/>
          <w:lang w:val="en-IE"/>
        </w:rPr>
        <w:t xml:space="preserve"> due to increased possibility of errors</w:t>
      </w:r>
      <w:r>
        <w:rPr>
          <w:rFonts w:asciiTheme="minorHAnsi" w:hAnsiTheme="minorHAnsi" w:cstheme="minorHAnsi"/>
          <w:sz w:val="22"/>
          <w:szCs w:val="22"/>
          <w:lang w:val="en-IE"/>
        </w:rPr>
        <w:t>, and therefore it should be limited where possible; while i</w:t>
      </w:r>
      <w:r w:rsidR="00CE6D86" w:rsidRPr="0059550D">
        <w:rPr>
          <w:rFonts w:asciiTheme="minorHAnsi" w:hAnsiTheme="minorHAnsi" w:cstheme="minorHAnsi"/>
          <w:sz w:val="22"/>
          <w:szCs w:val="22"/>
          <w:lang w:val="en-IE"/>
        </w:rPr>
        <w:t xml:space="preserve">f </w:t>
      </w:r>
      <w:r w:rsidR="00320D4C" w:rsidRPr="0059550D">
        <w:rPr>
          <w:rFonts w:asciiTheme="minorHAnsi" w:hAnsiTheme="minorHAnsi" w:cstheme="minorHAnsi"/>
          <w:sz w:val="22"/>
          <w:szCs w:val="22"/>
          <w:lang w:val="en-IE"/>
        </w:rPr>
        <w:t>more information is gathered automatically</w:t>
      </w:r>
      <w:r w:rsidR="00CE6D86" w:rsidRPr="0059550D">
        <w:rPr>
          <w:rFonts w:asciiTheme="minorHAnsi" w:hAnsiTheme="minorHAnsi" w:cstheme="minorHAnsi"/>
          <w:sz w:val="22"/>
          <w:szCs w:val="22"/>
          <w:lang w:val="en-IE"/>
        </w:rPr>
        <w:t>, the overall burden on buyers in this area is li</w:t>
      </w:r>
      <w:r w:rsidR="00320D4C" w:rsidRPr="0059550D">
        <w:rPr>
          <w:rFonts w:asciiTheme="minorHAnsi" w:hAnsiTheme="minorHAnsi" w:cstheme="minorHAnsi"/>
          <w:sz w:val="22"/>
          <w:szCs w:val="22"/>
          <w:lang w:val="en-IE"/>
        </w:rPr>
        <w:t>kely to significantly decrease.</w:t>
      </w:r>
      <w:r w:rsidR="00CE6D86" w:rsidRPr="0059550D">
        <w:rPr>
          <w:rFonts w:asciiTheme="minorHAnsi" w:hAnsiTheme="minorHAnsi" w:cstheme="minorHAnsi"/>
          <w:sz w:val="22"/>
          <w:szCs w:val="22"/>
          <w:lang w:val="en-IE"/>
        </w:rPr>
        <w:t xml:space="preserve"> This may </w:t>
      </w:r>
      <w:r w:rsidR="007B0420">
        <w:rPr>
          <w:rFonts w:asciiTheme="minorHAnsi" w:hAnsiTheme="minorHAnsi" w:cstheme="minorHAnsi"/>
          <w:sz w:val="22"/>
          <w:szCs w:val="22"/>
          <w:lang w:val="en-IE"/>
        </w:rPr>
        <w:t xml:space="preserve">free </w:t>
      </w:r>
      <w:r w:rsidR="00CE6D86" w:rsidRPr="0059550D">
        <w:rPr>
          <w:rFonts w:asciiTheme="minorHAnsi" w:hAnsiTheme="minorHAnsi" w:cstheme="minorHAnsi"/>
          <w:sz w:val="22"/>
          <w:szCs w:val="22"/>
          <w:lang w:val="en-IE"/>
        </w:rPr>
        <w:t>buyers</w:t>
      </w:r>
      <w:r w:rsidR="007B0420">
        <w:rPr>
          <w:rFonts w:asciiTheme="minorHAnsi" w:hAnsiTheme="minorHAnsi" w:cstheme="minorHAnsi"/>
          <w:sz w:val="22"/>
          <w:szCs w:val="22"/>
          <w:lang w:val="en-IE"/>
        </w:rPr>
        <w:t>’ resources</w:t>
      </w:r>
      <w:r w:rsidR="00CE6D86" w:rsidRPr="0059550D">
        <w:rPr>
          <w:rFonts w:asciiTheme="minorHAnsi" w:hAnsiTheme="minorHAnsi" w:cstheme="minorHAnsi"/>
          <w:sz w:val="22"/>
          <w:szCs w:val="22"/>
          <w:lang w:val="en-IE"/>
        </w:rPr>
        <w:t xml:space="preserve"> to manually provide information that has not been collected before and is hard to collect automatically (e.g. on green, innovative and social procurement). </w:t>
      </w:r>
    </w:p>
    <w:p w14:paraId="39788568" w14:textId="16CC9E76" w:rsidR="0055261A" w:rsidRPr="0059550D" w:rsidRDefault="00CE6D86" w:rsidP="00DC6C47">
      <w:pPr>
        <w:pStyle w:val="Text2"/>
        <w:numPr>
          <w:ilvl w:val="0"/>
          <w:numId w:val="16"/>
        </w:numPr>
        <w:spacing w:after="0"/>
        <w:rPr>
          <w:rFonts w:asciiTheme="minorHAnsi" w:hAnsiTheme="minorHAnsi" w:cstheme="minorHAnsi"/>
          <w:sz w:val="22"/>
          <w:szCs w:val="22"/>
          <w:lang w:val="en-IE"/>
        </w:rPr>
      </w:pPr>
      <w:r w:rsidRPr="0059550D">
        <w:rPr>
          <w:rFonts w:asciiTheme="minorHAnsi" w:hAnsiTheme="minorHAnsi" w:cstheme="minorHAnsi"/>
          <w:sz w:val="22"/>
          <w:szCs w:val="22"/>
          <w:lang w:val="en-IE"/>
        </w:rPr>
        <w:t>Certain data becomes more useful if collected by more buyers. This is especially the case for policy relevant data, where benefits may come from analysing broader patterns (e.g. for discovering collusion) or benchmarking (e.g. on green procurement).</w:t>
      </w:r>
    </w:p>
    <w:p w14:paraId="7C0D24F1" w14:textId="0F24A589" w:rsidR="006370F4" w:rsidRPr="0059550D" w:rsidRDefault="00804EBA" w:rsidP="006370F4">
      <w:pPr>
        <w:pStyle w:val="Heading2"/>
        <w:rPr>
          <w:lang w:val="en-IE"/>
        </w:rPr>
      </w:pPr>
      <w:bookmarkStart w:id="34" w:name="_Toc25684077"/>
      <w:r w:rsidRPr="0059550D">
        <w:rPr>
          <w:lang w:val="en-IE"/>
        </w:rPr>
        <w:t xml:space="preserve">eForms </w:t>
      </w:r>
      <w:r w:rsidR="00734E2E" w:rsidRPr="0059550D">
        <w:rPr>
          <w:lang w:val="en-IE"/>
        </w:rPr>
        <w:t>use not mandated by the Directives</w:t>
      </w:r>
      <w:bookmarkEnd w:id="34"/>
    </w:p>
    <w:p w14:paraId="54F5102E" w14:textId="2957821C" w:rsidR="006370F4" w:rsidRPr="0059550D" w:rsidRDefault="006370F4" w:rsidP="00214E3A">
      <w:pPr>
        <w:pStyle w:val="NoSpacing"/>
        <w:rPr>
          <w:lang w:val="en-IE"/>
        </w:rPr>
      </w:pPr>
    </w:p>
    <w:p w14:paraId="2DDC0E53" w14:textId="1966ECD1" w:rsidR="00995635" w:rsidRPr="0059550D" w:rsidRDefault="0060141A" w:rsidP="00214E3A">
      <w:pPr>
        <w:pStyle w:val="NoSpacing"/>
        <w:rPr>
          <w:lang w:val="en-IE"/>
        </w:rPr>
      </w:pPr>
      <w:r>
        <w:rPr>
          <w:lang w:val="en-IE"/>
        </w:rPr>
        <w:t xml:space="preserve">It is foreseen that </w:t>
      </w:r>
      <w:r w:rsidR="00995635" w:rsidRPr="0059550D">
        <w:rPr>
          <w:lang w:val="en-IE"/>
        </w:rPr>
        <w:t xml:space="preserve">eForms notices </w:t>
      </w:r>
      <w:r w:rsidR="00E456C1">
        <w:rPr>
          <w:lang w:val="en-IE"/>
        </w:rPr>
        <w:t>could</w:t>
      </w:r>
      <w:r w:rsidR="00E456C1" w:rsidRPr="0059550D">
        <w:rPr>
          <w:lang w:val="en-IE"/>
        </w:rPr>
        <w:t xml:space="preserve"> </w:t>
      </w:r>
      <w:r w:rsidR="00995635" w:rsidRPr="0059550D">
        <w:rPr>
          <w:lang w:val="en-IE"/>
        </w:rPr>
        <w:t xml:space="preserve">also be used in situations where it is not required by the </w:t>
      </w:r>
      <w:r w:rsidR="00B52ABF">
        <w:rPr>
          <w:lang w:val="en-IE"/>
        </w:rPr>
        <w:t xml:space="preserve">Procurement </w:t>
      </w:r>
      <w:r w:rsidR="00995635" w:rsidRPr="0059550D">
        <w:rPr>
          <w:lang w:val="en-IE"/>
        </w:rPr>
        <w:t xml:space="preserve">Directives. </w:t>
      </w:r>
    </w:p>
    <w:p w14:paraId="0D1620EA" w14:textId="77777777" w:rsidR="00995635" w:rsidRPr="0059550D" w:rsidRDefault="00995635" w:rsidP="00214E3A">
      <w:pPr>
        <w:pStyle w:val="NoSpacing"/>
        <w:rPr>
          <w:lang w:val="en-IE"/>
        </w:rPr>
      </w:pPr>
    </w:p>
    <w:p w14:paraId="5C71B4EE" w14:textId="2B708926" w:rsidR="00A41BEE" w:rsidRDefault="00E7197D" w:rsidP="00214E3A">
      <w:pPr>
        <w:pStyle w:val="NoSpacing"/>
        <w:rPr>
          <w:lang w:val="en-IE"/>
        </w:rPr>
      </w:pPr>
      <w:r w:rsidRPr="0059550D">
        <w:rPr>
          <w:lang w:val="en-IE"/>
        </w:rPr>
        <w:t xml:space="preserve">An obligation </w:t>
      </w:r>
      <w:r w:rsidR="00734E2E" w:rsidRPr="0059550D">
        <w:rPr>
          <w:lang w:val="en-IE"/>
        </w:rPr>
        <w:t>to use notices</w:t>
      </w:r>
      <w:r w:rsidRPr="0059550D">
        <w:rPr>
          <w:lang w:val="en-IE"/>
        </w:rPr>
        <w:t xml:space="preserve"> in cases not mandated by the EU Directives can either be established by national law (or de-facto required by national e-tendering systems), left optionally </w:t>
      </w:r>
      <w:r w:rsidR="00A76988">
        <w:rPr>
          <w:lang w:val="en-IE"/>
        </w:rPr>
        <w:t>for</w:t>
      </w:r>
      <w:r w:rsidRPr="0059550D">
        <w:rPr>
          <w:lang w:val="en-IE"/>
        </w:rPr>
        <w:t xml:space="preserve"> buyers</w:t>
      </w:r>
      <w:r w:rsidR="00A76988">
        <w:rPr>
          <w:lang w:val="en-IE"/>
        </w:rPr>
        <w:t xml:space="preserve"> to decide on</w:t>
      </w:r>
      <w:r w:rsidRPr="0059550D">
        <w:rPr>
          <w:lang w:val="en-IE"/>
        </w:rPr>
        <w:t>, or made impossible (e.g. de-facto by not implementing the features in national e-tendering systems).</w:t>
      </w:r>
      <w:r w:rsidR="003E5F2A">
        <w:rPr>
          <w:lang w:val="en-IE"/>
        </w:rPr>
        <w:t xml:space="preserve"> </w:t>
      </w:r>
    </w:p>
    <w:p w14:paraId="174A5059" w14:textId="19AF5542" w:rsidR="003301C9" w:rsidRDefault="003301C9" w:rsidP="00214E3A">
      <w:pPr>
        <w:pStyle w:val="NoSpacing"/>
        <w:rPr>
          <w:lang w:val="en-IE"/>
        </w:rPr>
      </w:pPr>
    </w:p>
    <w:p w14:paraId="3DCC76FD" w14:textId="1C97CD18" w:rsidR="0059565F" w:rsidRDefault="003301C9" w:rsidP="0059565F">
      <w:pPr>
        <w:pStyle w:val="NoSpacing"/>
        <w:rPr>
          <w:lang w:val="en-IE"/>
        </w:rPr>
      </w:pPr>
      <w:r w:rsidRPr="0009042B">
        <w:rPr>
          <w:lang w:val="en-IE"/>
        </w:rPr>
        <w:t>The Publications Office of the EU will address the</w:t>
      </w:r>
      <w:r w:rsidR="00145701" w:rsidRPr="0009042B">
        <w:rPr>
          <w:lang w:val="en-IE"/>
        </w:rPr>
        <w:t xml:space="preserve"> situations mentioned below</w:t>
      </w:r>
      <w:r w:rsidRPr="0009042B">
        <w:rPr>
          <w:lang w:val="en-IE"/>
        </w:rPr>
        <w:t xml:space="preserve"> after work on the forms and notices foreseen in the eForms Implementing Regulation</w:t>
      </w:r>
      <w:r w:rsidR="00026497" w:rsidRPr="0009042B">
        <w:rPr>
          <w:lang w:val="en-IE"/>
        </w:rPr>
        <w:t xml:space="preserve"> is completed</w:t>
      </w:r>
      <w:r w:rsidR="0059565F" w:rsidRPr="0009042B">
        <w:rPr>
          <w:lang w:val="en-IE"/>
        </w:rPr>
        <w:t>.</w:t>
      </w:r>
      <w:r w:rsidR="0060141A">
        <w:rPr>
          <w:lang w:val="en-IE"/>
        </w:rPr>
        <w:t xml:space="preserve"> </w:t>
      </w:r>
    </w:p>
    <w:p w14:paraId="6412501B" w14:textId="706C4BDC" w:rsidR="00F313AA" w:rsidRDefault="00F313AA" w:rsidP="0059565F">
      <w:pPr>
        <w:pStyle w:val="NoSpacing"/>
        <w:rPr>
          <w:lang w:val="en-IE"/>
        </w:rPr>
      </w:pPr>
    </w:p>
    <w:p w14:paraId="5C035457" w14:textId="313CDBDA" w:rsidR="000A57EE" w:rsidRPr="0059550D" w:rsidRDefault="006370F4" w:rsidP="00FC0EBB">
      <w:pPr>
        <w:pStyle w:val="Heading3"/>
        <w:rPr>
          <w:lang w:val="en-IE"/>
        </w:rPr>
      </w:pPr>
      <w:bookmarkStart w:id="35" w:name="_Ref19031624"/>
      <w:bookmarkStart w:id="36" w:name="_Toc25684078"/>
      <w:r w:rsidRPr="0059550D">
        <w:rPr>
          <w:lang w:val="en-IE"/>
        </w:rPr>
        <w:t>B</w:t>
      </w:r>
      <w:r w:rsidR="00D63F24" w:rsidRPr="0059550D">
        <w:rPr>
          <w:lang w:val="en-IE"/>
        </w:rPr>
        <w:t>elow-threshold</w:t>
      </w:r>
      <w:r w:rsidR="00A71FFD" w:rsidRPr="0059550D">
        <w:rPr>
          <w:lang w:val="en-IE"/>
        </w:rPr>
        <w:t xml:space="preserve"> notices</w:t>
      </w:r>
      <w:bookmarkEnd w:id="35"/>
      <w:bookmarkEnd w:id="36"/>
    </w:p>
    <w:p w14:paraId="0920A4FC" w14:textId="7D4B0CD9" w:rsidR="000A57EE" w:rsidRPr="0059550D" w:rsidRDefault="000A57EE" w:rsidP="000A57EE">
      <w:pPr>
        <w:pStyle w:val="NoSpacing"/>
        <w:rPr>
          <w:lang w:val="en-IE"/>
        </w:rPr>
      </w:pPr>
    </w:p>
    <w:p w14:paraId="5119C86F" w14:textId="771F33DB" w:rsidR="00C0482A" w:rsidRPr="0059550D" w:rsidRDefault="00230BCD" w:rsidP="000A57EE">
      <w:pPr>
        <w:pStyle w:val="NoSpacing"/>
        <w:rPr>
          <w:lang w:val="en-IE"/>
        </w:rPr>
      </w:pPr>
      <w:r w:rsidRPr="0059550D">
        <w:rPr>
          <w:lang w:val="en-IE"/>
        </w:rPr>
        <w:t xml:space="preserve">eForms </w:t>
      </w:r>
      <w:r w:rsidR="00E456C1">
        <w:rPr>
          <w:lang w:val="en-IE"/>
        </w:rPr>
        <w:t>could</w:t>
      </w:r>
      <w:r w:rsidR="00E456C1" w:rsidRPr="0059550D">
        <w:rPr>
          <w:lang w:val="en-IE"/>
        </w:rPr>
        <w:t xml:space="preserve"> </w:t>
      </w:r>
      <w:r w:rsidRPr="0059550D">
        <w:rPr>
          <w:lang w:val="en-IE"/>
        </w:rPr>
        <w:t xml:space="preserve">be used </w:t>
      </w:r>
      <w:r w:rsidR="00E06B34" w:rsidRPr="0059550D">
        <w:rPr>
          <w:lang w:val="en-IE"/>
        </w:rPr>
        <w:t>to publish</w:t>
      </w:r>
      <w:r w:rsidRPr="0059550D">
        <w:rPr>
          <w:lang w:val="en-IE"/>
        </w:rPr>
        <w:t xml:space="preserve"> below-threshold notices</w:t>
      </w:r>
      <w:r w:rsidR="00E06B34" w:rsidRPr="0059550D">
        <w:rPr>
          <w:lang w:val="en-IE"/>
        </w:rPr>
        <w:t>, which is not required by the Procurement Directives</w:t>
      </w:r>
      <w:r w:rsidRPr="0059550D">
        <w:rPr>
          <w:lang w:val="en-IE"/>
        </w:rPr>
        <w:t xml:space="preserve">. </w:t>
      </w:r>
      <w:r w:rsidR="00996658" w:rsidRPr="0059550D">
        <w:rPr>
          <w:lang w:val="en-IE"/>
        </w:rPr>
        <w:t xml:space="preserve">Using the same standard for all procurement notices lowers the cost of use and implementation, because users need to learn only one standard. Furthermore, it offers benefits for comparability of data and interoperability with other standards </w:t>
      </w:r>
      <w:r w:rsidR="00A76988">
        <w:rPr>
          <w:lang w:val="en-IE"/>
        </w:rPr>
        <w:t xml:space="preserve">(such as </w:t>
      </w:r>
      <w:r w:rsidR="00996658" w:rsidRPr="0059550D">
        <w:rPr>
          <w:lang w:val="en-IE"/>
        </w:rPr>
        <w:t xml:space="preserve">eInvoicing). </w:t>
      </w:r>
    </w:p>
    <w:p w14:paraId="526635E2" w14:textId="77777777" w:rsidR="00C0482A" w:rsidRPr="0059550D" w:rsidRDefault="00C0482A" w:rsidP="000A57EE">
      <w:pPr>
        <w:pStyle w:val="NoSpacing"/>
        <w:rPr>
          <w:lang w:val="en-IE"/>
        </w:rPr>
      </w:pPr>
    </w:p>
    <w:p w14:paraId="2C8E61B0" w14:textId="7BEC8FC1" w:rsidR="00B358AF" w:rsidRPr="0059550D" w:rsidRDefault="00C0482A" w:rsidP="000A57EE">
      <w:pPr>
        <w:pStyle w:val="NoSpacing"/>
        <w:rPr>
          <w:lang w:val="en-IE"/>
        </w:rPr>
      </w:pPr>
      <w:r w:rsidRPr="0059550D">
        <w:rPr>
          <w:lang w:val="en-IE"/>
        </w:rPr>
        <w:t xml:space="preserve">Using </w:t>
      </w:r>
      <w:r w:rsidR="00996658" w:rsidRPr="0059550D">
        <w:rPr>
          <w:lang w:val="en-IE"/>
        </w:rPr>
        <w:t xml:space="preserve">eForms </w:t>
      </w:r>
      <w:r w:rsidRPr="0059550D">
        <w:rPr>
          <w:lang w:val="en-IE"/>
        </w:rPr>
        <w:t xml:space="preserve">for below-threshold </w:t>
      </w:r>
      <w:r w:rsidR="000269FB">
        <w:rPr>
          <w:lang w:val="en-IE"/>
        </w:rPr>
        <w:t xml:space="preserve">notices </w:t>
      </w:r>
      <w:r w:rsidR="00EE3AFD">
        <w:rPr>
          <w:lang w:val="en-IE"/>
        </w:rPr>
        <w:t xml:space="preserve">which will be made available </w:t>
      </w:r>
      <w:r w:rsidR="004959FD">
        <w:rPr>
          <w:lang w:val="en-IE"/>
        </w:rPr>
        <w:t xml:space="preserve">at a later phase </w:t>
      </w:r>
      <w:r w:rsidR="00EE3AFD">
        <w:rPr>
          <w:lang w:val="en-IE"/>
        </w:rPr>
        <w:t>by the Publications Office</w:t>
      </w:r>
      <w:r w:rsidR="00EE3AFD" w:rsidRPr="0059550D">
        <w:rPr>
          <w:lang w:val="en-IE"/>
        </w:rPr>
        <w:t xml:space="preserve"> </w:t>
      </w:r>
      <w:r w:rsidRPr="0059550D">
        <w:rPr>
          <w:lang w:val="en-IE"/>
        </w:rPr>
        <w:t xml:space="preserve">also means they can be published </w:t>
      </w:r>
      <w:r w:rsidR="00A76988">
        <w:rPr>
          <w:lang w:val="en-IE"/>
        </w:rPr>
        <w:t xml:space="preserve">on </w:t>
      </w:r>
      <w:r w:rsidRPr="0059550D">
        <w:rPr>
          <w:lang w:val="en-IE"/>
        </w:rPr>
        <w:t>TED.</w:t>
      </w:r>
      <w:r w:rsidR="002943FD" w:rsidRPr="0059550D">
        <w:rPr>
          <w:lang w:val="en-IE"/>
        </w:rPr>
        <w:t xml:space="preserve"> Publishing below-threshold notices on TED also allows benchmarking national below-threshold procurement with below-threshold procurement in other EU countries.</w:t>
      </w:r>
    </w:p>
    <w:p w14:paraId="2E24EDE3" w14:textId="77777777" w:rsidR="00604DFD" w:rsidRDefault="00604DFD" w:rsidP="000A57EE">
      <w:pPr>
        <w:pStyle w:val="NoSpacing"/>
        <w:rPr>
          <w:lang w:val="en-IE"/>
        </w:rPr>
      </w:pPr>
    </w:p>
    <w:p w14:paraId="6AB4435A" w14:textId="6B9CF1D7" w:rsidR="00A041E3" w:rsidRDefault="00091F60" w:rsidP="000A57EE">
      <w:pPr>
        <w:pStyle w:val="NoSpacing"/>
        <w:rPr>
          <w:lang w:val="en-IE"/>
        </w:rPr>
      </w:pPr>
      <w:r w:rsidRPr="00FB4F87">
        <w:rPr>
          <w:lang w:val="en-IE"/>
        </w:rPr>
        <w:t xml:space="preserve">eForms are usable for below-threshold in particular because the relevant </w:t>
      </w:r>
      <w:r w:rsidR="00A041E3" w:rsidRPr="0053585B">
        <w:rPr>
          <w:lang w:val="en-IE"/>
        </w:rPr>
        <w:t xml:space="preserve">fields and </w:t>
      </w:r>
      <w:r w:rsidRPr="0053585B">
        <w:rPr>
          <w:lang w:val="en-IE"/>
        </w:rPr>
        <w:t xml:space="preserve">codelists </w:t>
      </w:r>
      <w:r w:rsidR="00A041E3" w:rsidRPr="0053585B">
        <w:rPr>
          <w:lang w:val="en-IE"/>
        </w:rPr>
        <w:t xml:space="preserve">have </w:t>
      </w:r>
      <w:r w:rsidR="00A041E3" w:rsidRPr="00A42F8C">
        <w:rPr>
          <w:lang w:val="en-IE"/>
        </w:rPr>
        <w:t xml:space="preserve">been </w:t>
      </w:r>
      <w:r w:rsidR="00A041E3" w:rsidRPr="00C37B2D">
        <w:rPr>
          <w:lang w:val="en-IE"/>
        </w:rPr>
        <w:t>designed</w:t>
      </w:r>
      <w:r w:rsidR="00A041E3" w:rsidRPr="00CF7872">
        <w:rPr>
          <w:lang w:val="en-IE"/>
        </w:rPr>
        <w:t xml:space="preserve"> </w:t>
      </w:r>
      <w:r w:rsidR="00A76988" w:rsidRPr="00C77C4E">
        <w:rPr>
          <w:lang w:val="en-IE"/>
        </w:rPr>
        <w:t xml:space="preserve">taking into account </w:t>
      </w:r>
      <w:r w:rsidR="00A041E3" w:rsidRPr="00EF07F8">
        <w:rPr>
          <w:lang w:val="en-IE"/>
        </w:rPr>
        <w:t xml:space="preserve">below-threshold </w:t>
      </w:r>
      <w:r w:rsidR="00A76988" w:rsidRPr="006B2388">
        <w:rPr>
          <w:lang w:val="en-IE"/>
        </w:rPr>
        <w:t>requirements</w:t>
      </w:r>
      <w:r w:rsidR="00A041E3" w:rsidRPr="000C263D">
        <w:rPr>
          <w:lang w:val="en-IE"/>
        </w:rPr>
        <w:t xml:space="preserve">. </w:t>
      </w:r>
      <w:r w:rsidR="00EC32CE" w:rsidRPr="009B198C">
        <w:rPr>
          <w:lang w:val="en-IE"/>
        </w:rPr>
        <w:t xml:space="preserve">The below-threshold notices </w:t>
      </w:r>
      <w:r w:rsidR="0038059F" w:rsidRPr="009B198C">
        <w:rPr>
          <w:lang w:val="en-IE"/>
        </w:rPr>
        <w:t>are</w:t>
      </w:r>
      <w:r w:rsidR="00EC32CE" w:rsidRPr="009B198C">
        <w:rPr>
          <w:lang w:val="en-IE"/>
        </w:rPr>
        <w:t xml:space="preserve"> marked as E2, E3, E4 (E for Extended)</w:t>
      </w:r>
      <w:r w:rsidR="0038059F" w:rsidRPr="009B198C">
        <w:rPr>
          <w:lang w:val="en-IE"/>
        </w:rPr>
        <w:t xml:space="preserve"> in the Annex to the Implementing Regulation</w:t>
      </w:r>
      <w:r w:rsidR="00EC32CE" w:rsidRPr="009B198C">
        <w:rPr>
          <w:lang w:val="en-IE"/>
        </w:rPr>
        <w:t>.</w:t>
      </w:r>
      <w:r w:rsidR="00EC32CE" w:rsidRPr="0059550D">
        <w:rPr>
          <w:lang w:val="en-IE"/>
        </w:rPr>
        <w:t xml:space="preserve"> </w:t>
      </w:r>
    </w:p>
    <w:p w14:paraId="267B488E" w14:textId="77777777" w:rsidR="00B5031A" w:rsidRPr="0059550D" w:rsidRDefault="00B5031A" w:rsidP="000A57EE">
      <w:pPr>
        <w:pStyle w:val="NoSpacing"/>
        <w:rPr>
          <w:lang w:val="en-IE"/>
        </w:rPr>
      </w:pPr>
    </w:p>
    <w:p w14:paraId="5DC49F0B" w14:textId="7490E031" w:rsidR="00B5031A" w:rsidRPr="0059550D" w:rsidRDefault="00B5031A" w:rsidP="00B5031A">
      <w:pPr>
        <w:pStyle w:val="NoSpacing"/>
        <w:rPr>
          <w:lang w:val="en-IE"/>
        </w:rPr>
      </w:pPr>
      <w:r w:rsidRPr="0059550D">
        <w:rPr>
          <w:lang w:val="en-IE"/>
        </w:rPr>
        <w:t>In any case, eForms can also be used without requiring TED publication. Using eForms for below-threshold is also unrelated to the applicability of the</w:t>
      </w:r>
      <w:r w:rsidR="00B52ABF">
        <w:rPr>
          <w:lang w:val="en-IE"/>
        </w:rPr>
        <w:t xml:space="preserve"> Procurement</w:t>
      </w:r>
      <w:r w:rsidRPr="0059550D">
        <w:rPr>
          <w:lang w:val="en-IE"/>
        </w:rPr>
        <w:t xml:space="preserve"> Directives, i.e. the forms may be used while the Directives are not. </w:t>
      </w:r>
    </w:p>
    <w:p w14:paraId="49AD4E62" w14:textId="5A0E4A21" w:rsidR="00F5429F" w:rsidRPr="0059550D" w:rsidRDefault="00F5429F" w:rsidP="000A57EE">
      <w:pPr>
        <w:pStyle w:val="NoSpacing"/>
        <w:rPr>
          <w:lang w:val="en-IE"/>
        </w:rPr>
      </w:pPr>
    </w:p>
    <w:p w14:paraId="078D0DD0" w14:textId="31FDB6BD" w:rsidR="001F6E9A" w:rsidRPr="0059550D" w:rsidRDefault="00960B5C" w:rsidP="00214E3A">
      <w:pPr>
        <w:pStyle w:val="NoSpacing"/>
        <w:rPr>
          <w:lang w:val="en-IE"/>
        </w:rPr>
      </w:pPr>
      <w:r>
        <w:rPr>
          <w:lang w:val="en-IE"/>
        </w:rPr>
        <w:lastRenderedPageBreak/>
        <w:t>I</w:t>
      </w:r>
      <w:r w:rsidR="00F5429F" w:rsidRPr="0059550D">
        <w:rPr>
          <w:lang w:val="en-IE"/>
        </w:rPr>
        <w:t xml:space="preserve">nformation on how to request changes to eForms to cater for below-threshold publication (e.g. the addition of fields that are only used in national below-threshold procurement), </w:t>
      </w:r>
      <w:r w:rsidR="0059565F">
        <w:rPr>
          <w:lang w:val="en-IE"/>
        </w:rPr>
        <w:t xml:space="preserve">will be </w:t>
      </w:r>
      <w:r>
        <w:rPr>
          <w:lang w:val="en-IE"/>
        </w:rPr>
        <w:t>provided by the</w:t>
      </w:r>
      <w:r w:rsidR="00F5429F" w:rsidRPr="0059550D">
        <w:rPr>
          <w:lang w:val="en-IE"/>
        </w:rPr>
        <w:t xml:space="preserve"> eForms Governance Document. </w:t>
      </w:r>
      <w:r w:rsidR="00884C06" w:rsidRPr="0059550D">
        <w:rPr>
          <w:lang w:val="en-IE"/>
        </w:rPr>
        <w:t>More information is available on GitHub</w:t>
      </w:r>
      <w:r w:rsidR="00884C06" w:rsidRPr="0059550D">
        <w:rPr>
          <w:rStyle w:val="FootnoteReference"/>
          <w:lang w:val="en-IE"/>
        </w:rPr>
        <w:footnoteReference w:id="20"/>
      </w:r>
      <w:r w:rsidR="00884C06" w:rsidRPr="0059550D">
        <w:rPr>
          <w:lang w:val="en-IE"/>
        </w:rPr>
        <w:t>.</w:t>
      </w:r>
    </w:p>
    <w:p w14:paraId="2B65649E" w14:textId="3FCE6691" w:rsidR="00A42A5B" w:rsidRPr="0059550D" w:rsidRDefault="00E5493A" w:rsidP="00A42A5B">
      <w:pPr>
        <w:pStyle w:val="Heading3"/>
        <w:rPr>
          <w:lang w:val="en-IE"/>
        </w:rPr>
      </w:pPr>
      <w:bookmarkStart w:id="37" w:name="_Toc25684079"/>
      <w:r w:rsidRPr="0059550D">
        <w:rPr>
          <w:lang w:val="en-IE"/>
        </w:rPr>
        <w:t>C</w:t>
      </w:r>
      <w:r w:rsidR="00FF77C0" w:rsidRPr="0059550D">
        <w:rPr>
          <w:lang w:val="en-IE"/>
        </w:rPr>
        <w:t xml:space="preserve">ontracts in </w:t>
      </w:r>
      <w:r w:rsidR="00084226" w:rsidRPr="0059550D">
        <w:rPr>
          <w:lang w:val="en-IE"/>
        </w:rPr>
        <w:t>f</w:t>
      </w:r>
      <w:r w:rsidR="00FF77C0" w:rsidRPr="0059550D">
        <w:rPr>
          <w:lang w:val="en-IE"/>
        </w:rPr>
        <w:t xml:space="preserve">ramework </w:t>
      </w:r>
      <w:r w:rsidR="00084226" w:rsidRPr="0059550D">
        <w:rPr>
          <w:lang w:val="en-IE"/>
        </w:rPr>
        <w:t>a</w:t>
      </w:r>
      <w:r w:rsidR="00FF77C0" w:rsidRPr="0059550D">
        <w:rPr>
          <w:lang w:val="en-IE"/>
        </w:rPr>
        <w:t>greements</w:t>
      </w:r>
      <w:bookmarkEnd w:id="37"/>
    </w:p>
    <w:p w14:paraId="6B77C1A5" w14:textId="2B496E03" w:rsidR="00A42A5B" w:rsidRPr="0059550D" w:rsidRDefault="00A42A5B" w:rsidP="00214E3A">
      <w:pPr>
        <w:pStyle w:val="NoSpacing"/>
        <w:rPr>
          <w:lang w:val="en-IE"/>
        </w:rPr>
      </w:pPr>
    </w:p>
    <w:p w14:paraId="0C889E92" w14:textId="53618178" w:rsidR="00EF02E4" w:rsidRPr="0059550D" w:rsidRDefault="005B61C2" w:rsidP="00214E3A">
      <w:pPr>
        <w:pStyle w:val="NoSpacing"/>
        <w:rPr>
          <w:lang w:val="en-IE"/>
        </w:rPr>
      </w:pPr>
      <w:r w:rsidRPr="0059550D">
        <w:rPr>
          <w:lang w:val="en-IE"/>
        </w:rPr>
        <w:t xml:space="preserve">eForms </w:t>
      </w:r>
      <w:r w:rsidR="00E456C1">
        <w:rPr>
          <w:lang w:val="en-IE"/>
        </w:rPr>
        <w:t>could</w:t>
      </w:r>
      <w:r w:rsidR="00E456C1" w:rsidRPr="0059550D">
        <w:rPr>
          <w:lang w:val="en-IE"/>
        </w:rPr>
        <w:t xml:space="preserve"> </w:t>
      </w:r>
      <w:r w:rsidRPr="0059550D">
        <w:rPr>
          <w:lang w:val="en-IE"/>
        </w:rPr>
        <w:t>be used for the publication of contract award notices for individual contracts within a framework agreement</w:t>
      </w:r>
      <w:r w:rsidR="006B3D5A" w:rsidRPr="00B52ABF">
        <w:rPr>
          <w:lang w:val="en-IE"/>
        </w:rPr>
        <w:t>, grouped quarterly</w:t>
      </w:r>
      <w:r w:rsidR="00E34C9D">
        <w:rPr>
          <w:lang w:val="en-IE"/>
        </w:rPr>
        <w:t xml:space="preserve"> (and reference t</w:t>
      </w:r>
      <w:r w:rsidR="00492061">
        <w:rPr>
          <w:lang w:val="en-IE"/>
        </w:rPr>
        <w:t>o the notice setting the framew</w:t>
      </w:r>
      <w:r w:rsidR="00E34C9D">
        <w:rPr>
          <w:lang w:val="en-IE"/>
        </w:rPr>
        <w:t>o</w:t>
      </w:r>
      <w:r w:rsidR="00492061">
        <w:rPr>
          <w:lang w:val="en-IE"/>
        </w:rPr>
        <w:t>r</w:t>
      </w:r>
      <w:r w:rsidR="00E34C9D">
        <w:rPr>
          <w:lang w:val="en-IE"/>
        </w:rPr>
        <w:t>k agreement)</w:t>
      </w:r>
      <w:r w:rsidR="00E06B34" w:rsidRPr="0059550D">
        <w:rPr>
          <w:lang w:val="en-IE"/>
        </w:rPr>
        <w:t xml:space="preserve"> which is not required by the Procurement Directives</w:t>
      </w:r>
      <w:r w:rsidR="009B1184">
        <w:rPr>
          <w:rStyle w:val="FootnoteReference"/>
          <w:lang w:val="en-IE"/>
        </w:rPr>
        <w:footnoteReference w:id="21"/>
      </w:r>
      <w:r w:rsidRPr="0059550D">
        <w:rPr>
          <w:lang w:val="en-IE"/>
        </w:rPr>
        <w:t>.</w:t>
      </w:r>
      <w:r w:rsidR="0097441B" w:rsidRPr="0059550D">
        <w:rPr>
          <w:lang w:val="en-IE"/>
        </w:rPr>
        <w:t xml:space="preserve"> </w:t>
      </w:r>
      <w:r w:rsidR="007061C1" w:rsidRPr="0059550D">
        <w:rPr>
          <w:lang w:val="en-IE"/>
        </w:rPr>
        <w:t xml:space="preserve">The obligation can be further segmented depending on the type of framework agreement: e.g. for </w:t>
      </w:r>
      <w:r w:rsidR="00A41BEE" w:rsidRPr="0059550D">
        <w:rPr>
          <w:lang w:val="en-IE"/>
        </w:rPr>
        <w:t xml:space="preserve">all </w:t>
      </w:r>
      <w:r w:rsidR="007061C1" w:rsidRPr="0059550D">
        <w:rPr>
          <w:lang w:val="en-IE"/>
        </w:rPr>
        <w:t>framework agreements</w:t>
      </w:r>
      <w:r w:rsidR="00A41BEE" w:rsidRPr="0059550D">
        <w:rPr>
          <w:lang w:val="en-IE"/>
        </w:rPr>
        <w:t xml:space="preserve">, or only </w:t>
      </w:r>
      <w:r w:rsidR="00D73519">
        <w:rPr>
          <w:lang w:val="en-IE"/>
        </w:rPr>
        <w:t>for</w:t>
      </w:r>
      <w:r w:rsidR="00D73519" w:rsidRPr="0059550D">
        <w:rPr>
          <w:lang w:val="en-IE"/>
        </w:rPr>
        <w:t xml:space="preserve"> </w:t>
      </w:r>
      <w:r w:rsidR="00A41BEE" w:rsidRPr="0059550D">
        <w:rPr>
          <w:lang w:val="en-IE"/>
        </w:rPr>
        <w:t xml:space="preserve">framework agreements with multiple </w:t>
      </w:r>
      <w:r w:rsidR="00706C6A">
        <w:rPr>
          <w:lang w:val="en-IE"/>
        </w:rPr>
        <w:t>economic operator</w:t>
      </w:r>
      <w:r w:rsidR="00A41BEE" w:rsidRPr="0059550D">
        <w:rPr>
          <w:lang w:val="en-IE"/>
        </w:rPr>
        <w:t>s</w:t>
      </w:r>
      <w:r w:rsidR="007061C1" w:rsidRPr="0059550D">
        <w:rPr>
          <w:lang w:val="en-IE"/>
        </w:rPr>
        <w:t>.</w:t>
      </w:r>
      <w:r w:rsidR="00A41BEE" w:rsidRPr="0059550D">
        <w:rPr>
          <w:rStyle w:val="FootnoteReference"/>
          <w:lang w:val="en-IE"/>
        </w:rPr>
        <w:footnoteReference w:id="22"/>
      </w:r>
      <w:r w:rsidR="007061C1" w:rsidRPr="0059550D">
        <w:rPr>
          <w:lang w:val="en-IE"/>
        </w:rPr>
        <w:t xml:space="preserve">  </w:t>
      </w:r>
      <w:r w:rsidR="00EF02E4" w:rsidRPr="0059550D">
        <w:rPr>
          <w:lang w:val="en-IE"/>
        </w:rPr>
        <w:t xml:space="preserve"> </w:t>
      </w:r>
    </w:p>
    <w:p w14:paraId="6C07D5A2" w14:textId="77777777" w:rsidR="00EF02E4" w:rsidRPr="0059550D" w:rsidRDefault="00EF02E4" w:rsidP="00214E3A">
      <w:pPr>
        <w:pStyle w:val="NoSpacing"/>
        <w:rPr>
          <w:lang w:val="en-IE"/>
        </w:rPr>
      </w:pPr>
    </w:p>
    <w:p w14:paraId="3BE9BE30" w14:textId="29230759" w:rsidR="00EA7B86" w:rsidRPr="0059550D" w:rsidRDefault="0097441B" w:rsidP="00214E3A">
      <w:pPr>
        <w:pStyle w:val="NoSpacing"/>
        <w:rPr>
          <w:lang w:val="en-IE"/>
        </w:rPr>
      </w:pPr>
      <w:r w:rsidRPr="0059550D">
        <w:rPr>
          <w:lang w:val="en-IE"/>
        </w:rPr>
        <w:t xml:space="preserve">Publishing contract award notices about contracts awarded within framework agreements is necessary for ensuring transparency about the actual amount of taxpayers’ money being spent and, in </w:t>
      </w:r>
      <w:r w:rsidR="00D73519">
        <w:rPr>
          <w:lang w:val="en-IE"/>
        </w:rPr>
        <w:t xml:space="preserve">the </w:t>
      </w:r>
      <w:r w:rsidRPr="0059550D">
        <w:rPr>
          <w:lang w:val="en-IE"/>
        </w:rPr>
        <w:t xml:space="preserve">case of framework agreements with multiple </w:t>
      </w:r>
      <w:r w:rsidR="00706C6A">
        <w:rPr>
          <w:lang w:val="en-IE"/>
        </w:rPr>
        <w:t>economic operator</w:t>
      </w:r>
      <w:r w:rsidR="00A41BEE" w:rsidRPr="0059550D">
        <w:rPr>
          <w:lang w:val="en-IE"/>
        </w:rPr>
        <w:t>s</w:t>
      </w:r>
      <w:r w:rsidR="0001092F" w:rsidRPr="0059550D">
        <w:rPr>
          <w:lang w:val="en-IE"/>
        </w:rPr>
        <w:t xml:space="preserve">, </w:t>
      </w:r>
      <w:r w:rsidR="00D73519" w:rsidRPr="00D73519">
        <w:rPr>
          <w:lang w:val="en-IE"/>
        </w:rPr>
        <w:t xml:space="preserve">for ensuring additional transparency </w:t>
      </w:r>
      <w:r w:rsidR="0001092F" w:rsidRPr="0059550D">
        <w:rPr>
          <w:lang w:val="en-IE"/>
        </w:rPr>
        <w:t xml:space="preserve">on who is actually receiving the money. </w:t>
      </w:r>
      <w:r w:rsidR="00A85DFF">
        <w:rPr>
          <w:lang w:val="en-IE"/>
        </w:rPr>
        <w:t>(</w:t>
      </w:r>
      <w:r w:rsidR="00B62C5C">
        <w:rPr>
          <w:lang w:val="en-IE"/>
        </w:rPr>
        <w:t xml:space="preserve">In addtion, </w:t>
      </w:r>
      <w:r w:rsidR="00B62C5C" w:rsidRPr="00B62C5C">
        <w:rPr>
          <w:lang w:val="en-IE"/>
        </w:rPr>
        <w:t>it is necessary for precise measuring of vehicles purchases under the Clean Vehicles Directive</w:t>
      </w:r>
      <w:r w:rsidR="00B62C5C">
        <w:rPr>
          <w:rStyle w:val="FootnoteReference"/>
          <w:lang w:val="en-IE"/>
        </w:rPr>
        <w:footnoteReference w:id="23"/>
      </w:r>
      <w:r w:rsidR="00A85DFF">
        <w:rPr>
          <w:lang w:val="en-IE"/>
        </w:rPr>
        <w:t>)</w:t>
      </w:r>
      <w:r w:rsidR="00B62C5C" w:rsidRPr="00B62C5C">
        <w:rPr>
          <w:lang w:val="en-IE"/>
        </w:rPr>
        <w:t>.</w:t>
      </w:r>
    </w:p>
    <w:p w14:paraId="18BCA6AF" w14:textId="77777777" w:rsidR="00EA7B86" w:rsidRPr="0059550D" w:rsidRDefault="00EA7B86" w:rsidP="00214E3A">
      <w:pPr>
        <w:pStyle w:val="NoSpacing"/>
        <w:rPr>
          <w:lang w:val="en-IE"/>
        </w:rPr>
      </w:pPr>
    </w:p>
    <w:p w14:paraId="61AACC7B" w14:textId="55FED5AB" w:rsidR="00D90AFC" w:rsidRDefault="00EA7B86" w:rsidP="00214E3A">
      <w:pPr>
        <w:pStyle w:val="NoSpacing"/>
        <w:rPr>
          <w:lang w:val="en-IE"/>
        </w:rPr>
      </w:pPr>
      <w:r w:rsidRPr="0059550D">
        <w:rPr>
          <w:lang w:val="en-IE"/>
        </w:rPr>
        <w:t xml:space="preserve">Transparency on these matters is particularly important </w:t>
      </w:r>
      <w:r w:rsidR="00D90AFC">
        <w:rPr>
          <w:lang w:val="en-IE"/>
        </w:rPr>
        <w:t>because there are many framework agreements</w:t>
      </w:r>
      <w:r w:rsidR="00D73519">
        <w:rPr>
          <w:lang w:val="en-IE"/>
        </w:rPr>
        <w:t>, namely</w:t>
      </w:r>
      <w:r w:rsidR="00D73519" w:rsidRPr="0059550D">
        <w:rPr>
          <w:lang w:val="en-IE"/>
        </w:rPr>
        <w:t xml:space="preserve"> </w:t>
      </w:r>
      <w:r w:rsidR="001B118A" w:rsidRPr="0059550D">
        <w:rPr>
          <w:lang w:val="en-IE"/>
        </w:rPr>
        <w:t xml:space="preserve">20% </w:t>
      </w:r>
      <w:r w:rsidR="00D90AFC">
        <w:rPr>
          <w:lang w:val="en-IE"/>
        </w:rPr>
        <w:t xml:space="preserve">of procedures (by number) </w:t>
      </w:r>
      <w:r w:rsidR="00FC66FA" w:rsidRPr="0059550D">
        <w:rPr>
          <w:lang w:val="en-IE"/>
        </w:rPr>
        <w:t xml:space="preserve">in the EU overall </w:t>
      </w:r>
      <w:r w:rsidR="001B118A" w:rsidRPr="0059550D">
        <w:rPr>
          <w:lang w:val="en-IE"/>
        </w:rPr>
        <w:t xml:space="preserve">and around </w:t>
      </w:r>
      <w:r w:rsidR="00FC66FA" w:rsidRPr="0059550D">
        <w:rPr>
          <w:lang w:val="en-IE"/>
        </w:rPr>
        <w:t>and above 40</w:t>
      </w:r>
      <w:r w:rsidR="001B118A" w:rsidRPr="0059550D">
        <w:rPr>
          <w:lang w:val="en-IE"/>
        </w:rPr>
        <w:t>%</w:t>
      </w:r>
      <w:r w:rsidR="00FC66FA" w:rsidRPr="0059550D">
        <w:rPr>
          <w:lang w:val="en-IE"/>
        </w:rPr>
        <w:t xml:space="preserve"> in certain EU countries</w:t>
      </w:r>
      <w:r w:rsidR="00FC66FA" w:rsidRPr="0059550D">
        <w:rPr>
          <w:rStyle w:val="FootnoteReference"/>
          <w:lang w:val="en-IE"/>
        </w:rPr>
        <w:footnoteReference w:id="24"/>
      </w:r>
      <w:r w:rsidR="001B118A" w:rsidRPr="0059550D">
        <w:rPr>
          <w:lang w:val="en-IE"/>
        </w:rPr>
        <w:t>.</w:t>
      </w:r>
      <w:r w:rsidR="009B1184">
        <w:rPr>
          <w:lang w:val="en-IE"/>
        </w:rPr>
        <w:t xml:space="preserve"> </w:t>
      </w:r>
    </w:p>
    <w:p w14:paraId="5D73EFA3" w14:textId="77777777" w:rsidR="00604DFD" w:rsidRDefault="00604DFD" w:rsidP="00214E3A">
      <w:pPr>
        <w:pStyle w:val="NoSpacing"/>
        <w:rPr>
          <w:lang w:val="en-IE"/>
        </w:rPr>
      </w:pPr>
    </w:p>
    <w:p w14:paraId="03420E77" w14:textId="4CBBD8AB" w:rsidR="00A42A5B" w:rsidRPr="0059550D" w:rsidRDefault="00EA7B86" w:rsidP="00214E3A">
      <w:pPr>
        <w:pStyle w:val="NoSpacing"/>
        <w:rPr>
          <w:lang w:val="en-IE"/>
        </w:rPr>
      </w:pPr>
      <w:r w:rsidRPr="0059550D">
        <w:rPr>
          <w:lang w:val="en-IE"/>
        </w:rPr>
        <w:t>Since many framework agreements inclu</w:t>
      </w:r>
      <w:r w:rsidR="00AC4CD6" w:rsidRPr="0059550D">
        <w:rPr>
          <w:lang w:val="en-IE"/>
        </w:rPr>
        <w:t>de many contracts, largely automated prefilling of such notices is very important.</w:t>
      </w:r>
      <w:r w:rsidR="006946C7" w:rsidRPr="0059550D">
        <w:rPr>
          <w:lang w:val="en-IE"/>
        </w:rPr>
        <w:t xml:space="preserve"> </w:t>
      </w:r>
    </w:p>
    <w:p w14:paraId="273602F9" w14:textId="795E0565" w:rsidR="009A019E" w:rsidRPr="0059550D" w:rsidRDefault="00E34C9D" w:rsidP="007C5FEA">
      <w:pPr>
        <w:pStyle w:val="Heading3"/>
        <w:rPr>
          <w:lang w:val="en-IE"/>
        </w:rPr>
      </w:pPr>
      <w:bookmarkStart w:id="38" w:name="_Ref19024326"/>
      <w:bookmarkStart w:id="39" w:name="_Toc25684080"/>
      <w:r>
        <w:rPr>
          <w:lang w:val="en-IE"/>
        </w:rPr>
        <w:t>M</w:t>
      </w:r>
      <w:r w:rsidR="00EE3AFD">
        <w:rPr>
          <w:lang w:val="en-IE"/>
        </w:rPr>
        <w:t>inor</w:t>
      </w:r>
      <w:r>
        <w:rPr>
          <w:lang w:val="en-IE"/>
        </w:rPr>
        <w:t xml:space="preserve"> mo</w:t>
      </w:r>
      <w:r w:rsidR="007C5FEA" w:rsidRPr="0059550D">
        <w:rPr>
          <w:lang w:val="en-IE"/>
        </w:rPr>
        <w:t>difications</w:t>
      </w:r>
      <w:bookmarkEnd w:id="38"/>
      <w:bookmarkEnd w:id="39"/>
      <w:r w:rsidR="007C5FEA" w:rsidRPr="0059550D">
        <w:rPr>
          <w:lang w:val="en-IE"/>
        </w:rPr>
        <w:t xml:space="preserve"> </w:t>
      </w:r>
    </w:p>
    <w:p w14:paraId="38F1DA29" w14:textId="77777777" w:rsidR="009A019E" w:rsidRPr="0059550D" w:rsidRDefault="009A019E" w:rsidP="00214E3A">
      <w:pPr>
        <w:pStyle w:val="NoSpacing"/>
        <w:rPr>
          <w:lang w:val="en-IE"/>
        </w:rPr>
      </w:pPr>
    </w:p>
    <w:p w14:paraId="638E8D2A" w14:textId="05A0D447" w:rsidR="00913C3F" w:rsidRPr="0059550D" w:rsidRDefault="007C4873" w:rsidP="00214E3A">
      <w:pPr>
        <w:pStyle w:val="NoSpacing"/>
        <w:rPr>
          <w:lang w:val="en-IE"/>
        </w:rPr>
      </w:pPr>
      <w:r w:rsidRPr="0059550D">
        <w:rPr>
          <w:lang w:val="en-IE"/>
        </w:rPr>
        <w:t xml:space="preserve">eForms </w:t>
      </w:r>
      <w:r w:rsidR="00E456C1">
        <w:rPr>
          <w:lang w:val="en-IE"/>
        </w:rPr>
        <w:t>could</w:t>
      </w:r>
      <w:r w:rsidR="00E456C1" w:rsidRPr="0059550D">
        <w:rPr>
          <w:lang w:val="en-IE"/>
        </w:rPr>
        <w:t xml:space="preserve"> </w:t>
      </w:r>
      <w:r w:rsidRPr="0059550D">
        <w:rPr>
          <w:lang w:val="en-IE"/>
        </w:rPr>
        <w:t xml:space="preserve">be used to publish </w:t>
      </w:r>
      <w:r w:rsidR="009A2811" w:rsidRPr="0059550D">
        <w:rPr>
          <w:lang w:val="en-IE"/>
        </w:rPr>
        <w:t xml:space="preserve">notices on </w:t>
      </w:r>
      <w:r w:rsidR="00267772" w:rsidRPr="0059550D">
        <w:rPr>
          <w:lang w:val="en-IE"/>
        </w:rPr>
        <w:t xml:space="preserve">certain </w:t>
      </w:r>
      <w:r w:rsidR="009A2811" w:rsidRPr="0059550D">
        <w:rPr>
          <w:lang w:val="en-IE"/>
        </w:rPr>
        <w:t>modification</w:t>
      </w:r>
      <w:r w:rsidR="00267772" w:rsidRPr="0059550D">
        <w:rPr>
          <w:lang w:val="en-IE"/>
        </w:rPr>
        <w:t>s</w:t>
      </w:r>
      <w:r w:rsidR="00D8633B">
        <w:rPr>
          <w:lang w:val="en-IE"/>
        </w:rPr>
        <w:t xml:space="preserve"> that </w:t>
      </w:r>
      <w:r w:rsidR="00267772" w:rsidRPr="0059550D">
        <w:rPr>
          <w:lang w:val="en-IE"/>
        </w:rPr>
        <w:t xml:space="preserve">are </w:t>
      </w:r>
      <w:r w:rsidRPr="0059550D">
        <w:rPr>
          <w:lang w:val="en-IE"/>
        </w:rPr>
        <w:t>not required by the Procurement Directives</w:t>
      </w:r>
      <w:r w:rsidR="00187E08" w:rsidRPr="0059550D">
        <w:rPr>
          <w:rStyle w:val="FootnoteReference"/>
          <w:lang w:val="en-IE"/>
        </w:rPr>
        <w:footnoteReference w:id="25"/>
      </w:r>
      <w:r w:rsidR="00267772" w:rsidRPr="0059550D">
        <w:rPr>
          <w:lang w:val="en-IE"/>
        </w:rPr>
        <w:t>.</w:t>
      </w:r>
      <w:r w:rsidR="00A41BEE" w:rsidRPr="0059550D">
        <w:rPr>
          <w:lang w:val="en-IE"/>
        </w:rPr>
        <w:t xml:space="preserve"> </w:t>
      </w:r>
      <w:r w:rsidR="00913C3F" w:rsidRPr="0059550D">
        <w:rPr>
          <w:lang w:val="en-IE"/>
        </w:rPr>
        <w:t xml:space="preserve">In some EU countries, modifications are a frequent </w:t>
      </w:r>
      <w:r w:rsidR="009C3D38" w:rsidRPr="0059550D">
        <w:rPr>
          <w:lang w:val="en-IE"/>
        </w:rPr>
        <w:t>part of procurement practice and, consequently, increased transparency may be important for procurement overall.</w:t>
      </w:r>
    </w:p>
    <w:p w14:paraId="217CDBC6" w14:textId="77777777" w:rsidR="00913C3F" w:rsidRPr="0059550D" w:rsidRDefault="00913C3F" w:rsidP="00214E3A">
      <w:pPr>
        <w:pStyle w:val="NoSpacing"/>
        <w:rPr>
          <w:lang w:val="en-IE"/>
        </w:rPr>
      </w:pPr>
    </w:p>
    <w:p w14:paraId="2AFE9549" w14:textId="3042589C" w:rsidR="00672FD4" w:rsidRPr="0059550D" w:rsidRDefault="00A41BEE" w:rsidP="00214E3A">
      <w:pPr>
        <w:pStyle w:val="NoSpacing"/>
        <w:rPr>
          <w:lang w:val="en-IE"/>
        </w:rPr>
      </w:pPr>
      <w:r w:rsidRPr="0059550D">
        <w:rPr>
          <w:lang w:val="en-IE"/>
        </w:rPr>
        <w:t xml:space="preserve">In particular, this concerns </w:t>
      </w:r>
      <w:r w:rsidR="00FC3CB7" w:rsidRPr="0059550D">
        <w:rPr>
          <w:lang w:val="en-IE"/>
        </w:rPr>
        <w:t xml:space="preserve">modifications under a certain minimal value (“de-minimis”), modifications based on review clauses, modifications that are not substantial and modifications where a new contractor replaces an old contractor because of succession.  </w:t>
      </w:r>
    </w:p>
    <w:p w14:paraId="3DBC699B" w14:textId="1AD6F3C6" w:rsidR="00672FD4" w:rsidRPr="0059550D" w:rsidRDefault="00DB4869" w:rsidP="00214E3A">
      <w:pPr>
        <w:pStyle w:val="Heading3"/>
        <w:rPr>
          <w:lang w:val="en-IE"/>
        </w:rPr>
      </w:pPr>
      <w:bookmarkStart w:id="40" w:name="_Ref19625269"/>
      <w:bookmarkStart w:id="41" w:name="_Toc25684081"/>
      <w:r>
        <w:rPr>
          <w:lang w:val="en-IE"/>
        </w:rPr>
        <w:t>A</w:t>
      </w:r>
      <w:r w:rsidR="00672FD4" w:rsidRPr="0059550D">
        <w:rPr>
          <w:lang w:val="en-IE"/>
        </w:rPr>
        <w:t xml:space="preserve">ll </w:t>
      </w:r>
      <w:bookmarkEnd w:id="40"/>
      <w:r w:rsidR="00D52681">
        <w:rPr>
          <w:lang w:val="en-IE"/>
        </w:rPr>
        <w:t>bids received</w:t>
      </w:r>
      <w:bookmarkEnd w:id="41"/>
    </w:p>
    <w:p w14:paraId="48F733FB" w14:textId="3F17E2CA" w:rsidR="00672FD4" w:rsidRPr="0059550D" w:rsidRDefault="00E95439" w:rsidP="00214E3A">
      <w:pPr>
        <w:pStyle w:val="NoSpacing"/>
        <w:rPr>
          <w:lang w:val="en-IE"/>
        </w:rPr>
      </w:pPr>
      <w:r>
        <w:rPr>
          <w:lang w:val="en-IE"/>
        </w:rPr>
        <w:t xml:space="preserve">eForms </w:t>
      </w:r>
      <w:r w:rsidR="00E456C1">
        <w:rPr>
          <w:lang w:val="en-IE"/>
        </w:rPr>
        <w:t xml:space="preserve">could </w:t>
      </w:r>
      <w:r>
        <w:rPr>
          <w:lang w:val="en-IE"/>
        </w:rPr>
        <w:t xml:space="preserve">be used to collect and publish information about all </w:t>
      </w:r>
      <w:r w:rsidR="00D52681">
        <w:rPr>
          <w:lang w:val="en-IE"/>
        </w:rPr>
        <w:t>bids received</w:t>
      </w:r>
      <w:r w:rsidR="00E80F33">
        <w:rPr>
          <w:rStyle w:val="FootnoteReference"/>
          <w:lang w:val="en-IE"/>
        </w:rPr>
        <w:footnoteReference w:id="26"/>
      </w:r>
      <w:r>
        <w:rPr>
          <w:lang w:val="en-IE"/>
        </w:rPr>
        <w:t xml:space="preserve">, not just the winning </w:t>
      </w:r>
      <w:r w:rsidR="00D52681">
        <w:rPr>
          <w:lang w:val="en-IE"/>
        </w:rPr>
        <w:t>bid</w:t>
      </w:r>
      <w:r>
        <w:rPr>
          <w:lang w:val="en-IE"/>
        </w:rPr>
        <w:t xml:space="preserve">. This data is particularly useful for fighting collusion, as </w:t>
      </w:r>
      <w:r w:rsidR="00E80F33">
        <w:rPr>
          <w:lang w:val="en-IE"/>
        </w:rPr>
        <w:t xml:space="preserve">certain </w:t>
      </w:r>
      <w:r>
        <w:rPr>
          <w:lang w:val="en-IE"/>
        </w:rPr>
        <w:t>collusive patterns can be discovered from knowing who bids when</w:t>
      </w:r>
      <w:r w:rsidR="00E80F33">
        <w:rPr>
          <w:lang w:val="en-IE"/>
        </w:rPr>
        <w:t>,</w:t>
      </w:r>
      <w:r>
        <w:rPr>
          <w:lang w:val="en-IE"/>
        </w:rPr>
        <w:t xml:space="preserve"> where </w:t>
      </w:r>
      <w:r w:rsidR="00E80F33">
        <w:rPr>
          <w:lang w:val="en-IE"/>
        </w:rPr>
        <w:t xml:space="preserve">and how much </w:t>
      </w:r>
      <w:r>
        <w:rPr>
          <w:lang w:val="en-IE"/>
        </w:rPr>
        <w:t xml:space="preserve">(e.g. for arrangements where certain </w:t>
      </w:r>
      <w:r>
        <w:rPr>
          <w:lang w:val="en-IE"/>
        </w:rPr>
        <w:lastRenderedPageBreak/>
        <w:t xml:space="preserve">economic operators bid only in certain regions or for certain authorities, for cases where certain economic operators only bid together or without other economic operators, at certain moments). </w:t>
      </w:r>
    </w:p>
    <w:p w14:paraId="4A1AFB0B" w14:textId="3A53FBC0" w:rsidR="00FF77C0" w:rsidRPr="0059550D" w:rsidRDefault="00EE736F" w:rsidP="00FF77C0">
      <w:pPr>
        <w:pStyle w:val="Heading2"/>
        <w:rPr>
          <w:lang w:val="en-IE"/>
        </w:rPr>
      </w:pPr>
      <w:bookmarkStart w:id="42" w:name="_Toc25684082"/>
      <w:r>
        <w:rPr>
          <w:lang w:val="en-IE"/>
        </w:rPr>
        <w:t xml:space="preserve">Not using certain </w:t>
      </w:r>
      <w:r w:rsidR="00AC18AE">
        <w:rPr>
          <w:lang w:val="en-IE"/>
        </w:rPr>
        <w:t>notices,</w:t>
      </w:r>
      <w:r>
        <w:rPr>
          <w:lang w:val="en-IE"/>
        </w:rPr>
        <w:t xml:space="preserve"> </w:t>
      </w:r>
      <w:r w:rsidR="002B6E12">
        <w:rPr>
          <w:lang w:val="en-IE"/>
        </w:rPr>
        <w:t>u</w:t>
      </w:r>
      <w:r w:rsidR="00FF77C0" w:rsidRPr="0059550D">
        <w:rPr>
          <w:lang w:val="en-IE"/>
        </w:rPr>
        <w:t xml:space="preserve">sing additional </w:t>
      </w:r>
      <w:r w:rsidR="00AC18AE">
        <w:rPr>
          <w:lang w:val="en-IE"/>
        </w:rPr>
        <w:t>notices</w:t>
      </w:r>
      <w:bookmarkEnd w:id="42"/>
    </w:p>
    <w:p w14:paraId="589B45AA" w14:textId="15650ECE" w:rsidR="00D02C51" w:rsidRDefault="00FB3DD2" w:rsidP="00214E3A">
      <w:pPr>
        <w:pStyle w:val="NoSpacing"/>
        <w:rPr>
          <w:lang w:val="en-IE"/>
        </w:rPr>
      </w:pPr>
      <w:r>
        <w:rPr>
          <w:lang w:val="en-IE"/>
        </w:rPr>
        <w:t>Depending on</w:t>
      </w:r>
      <w:r w:rsidR="00D9432B">
        <w:rPr>
          <w:lang w:val="en-IE"/>
        </w:rPr>
        <w:t xml:space="preserve"> the</w:t>
      </w:r>
      <w:r>
        <w:rPr>
          <w:lang w:val="en-IE"/>
        </w:rPr>
        <w:t xml:space="preserve"> national transposition of the </w:t>
      </w:r>
      <w:r w:rsidR="00D52681">
        <w:rPr>
          <w:lang w:val="en-IE"/>
        </w:rPr>
        <w:t xml:space="preserve">Procurement </w:t>
      </w:r>
      <w:r w:rsidR="009727E0">
        <w:rPr>
          <w:lang w:val="en-IE"/>
        </w:rPr>
        <w:t>D</w:t>
      </w:r>
      <w:r>
        <w:rPr>
          <w:lang w:val="en-IE"/>
        </w:rPr>
        <w:t>irectives and the users, certain forms may not be relevant in a given implementation.</w:t>
      </w:r>
      <w:r w:rsidR="00D02C51">
        <w:rPr>
          <w:lang w:val="en-IE"/>
        </w:rPr>
        <w:t xml:space="preserve"> For example, if a particular implementation do</w:t>
      </w:r>
      <w:r w:rsidR="000C079F">
        <w:rPr>
          <w:lang w:val="en-IE"/>
        </w:rPr>
        <w:t>es</w:t>
      </w:r>
      <w:r w:rsidR="00D02C51">
        <w:rPr>
          <w:lang w:val="en-IE"/>
        </w:rPr>
        <w:t xml:space="preserve"> not include the defence directive, there is no need to cover </w:t>
      </w:r>
      <w:r w:rsidR="00697EAB">
        <w:rPr>
          <w:lang w:val="en-IE"/>
        </w:rPr>
        <w:t xml:space="preserve">defence </w:t>
      </w:r>
      <w:r w:rsidR="00D02C51">
        <w:rPr>
          <w:lang w:val="en-IE"/>
        </w:rPr>
        <w:t xml:space="preserve">notices. </w:t>
      </w:r>
    </w:p>
    <w:p w14:paraId="3B0BF06B" w14:textId="7AEB0E48" w:rsidR="00D02C51" w:rsidRDefault="00FD0ED9" w:rsidP="00FD0ED9">
      <w:pPr>
        <w:pStyle w:val="NoSpacing"/>
        <w:tabs>
          <w:tab w:val="left" w:pos="1440"/>
        </w:tabs>
        <w:rPr>
          <w:lang w:val="en-IE"/>
        </w:rPr>
      </w:pPr>
      <w:r>
        <w:rPr>
          <w:lang w:val="en-IE"/>
        </w:rPr>
        <w:tab/>
      </w:r>
    </w:p>
    <w:p w14:paraId="27535BDB" w14:textId="27FEF433" w:rsidR="001B0224" w:rsidRPr="0059550D" w:rsidRDefault="00FB3DD2" w:rsidP="005B1441">
      <w:pPr>
        <w:jc w:val="both"/>
        <w:rPr>
          <w:lang w:val="en-IE"/>
        </w:rPr>
      </w:pPr>
      <w:r w:rsidRPr="0009042B">
        <w:rPr>
          <w:lang w:val="en-IE"/>
        </w:rPr>
        <w:t xml:space="preserve">Furthermore, additionally </w:t>
      </w:r>
      <w:r w:rsidR="001E258A" w:rsidRPr="0009042B">
        <w:rPr>
          <w:lang w:val="en-IE"/>
        </w:rPr>
        <w:t xml:space="preserve">to </w:t>
      </w:r>
      <w:r w:rsidR="00785BF9" w:rsidRPr="0009042B">
        <w:rPr>
          <w:lang w:val="en-IE"/>
        </w:rPr>
        <w:t xml:space="preserve">the </w:t>
      </w:r>
      <w:r w:rsidR="001E258A" w:rsidRPr="0009042B">
        <w:rPr>
          <w:lang w:val="en-IE"/>
        </w:rPr>
        <w:t xml:space="preserve">notices established by the eForms Implementing Regulation, </w:t>
      </w:r>
      <w:r w:rsidR="009A3D62" w:rsidRPr="0009042B">
        <w:rPr>
          <w:lang w:val="en-IE"/>
        </w:rPr>
        <w:t xml:space="preserve">other forms for </w:t>
      </w:r>
      <w:r w:rsidR="009A3D62" w:rsidRPr="0009042B">
        <w:rPr>
          <w:b/>
          <w:lang w:val="en-IE"/>
        </w:rPr>
        <w:t>voluntary</w:t>
      </w:r>
      <w:r w:rsidR="009A3D62" w:rsidRPr="0009042B">
        <w:rPr>
          <w:lang w:val="en-IE"/>
        </w:rPr>
        <w:t xml:space="preserve"> use</w:t>
      </w:r>
      <w:r w:rsidR="00E456C1" w:rsidRPr="0009042B">
        <w:rPr>
          <w:lang w:val="en-IE"/>
        </w:rPr>
        <w:t xml:space="preserve"> </w:t>
      </w:r>
      <w:r w:rsidR="00FD0ED9">
        <w:rPr>
          <w:lang w:val="en-IE"/>
        </w:rPr>
        <w:t>are</w:t>
      </w:r>
      <w:r w:rsidR="00E456C1" w:rsidRPr="0009042B">
        <w:rPr>
          <w:lang w:val="en-IE"/>
        </w:rPr>
        <w:t xml:space="preserve"> envisaged</w:t>
      </w:r>
      <w:r w:rsidR="00A84357" w:rsidRPr="0009042B">
        <w:rPr>
          <w:rStyle w:val="FootnoteReference"/>
          <w:lang w:val="en-IE"/>
        </w:rPr>
        <w:footnoteReference w:id="27"/>
      </w:r>
      <w:r w:rsidR="00A84357" w:rsidRPr="0009042B">
        <w:rPr>
          <w:lang w:val="en-IE"/>
        </w:rPr>
        <w:t xml:space="preserve"> </w:t>
      </w:r>
      <w:r w:rsidR="009A3D62" w:rsidRPr="0009042B">
        <w:rPr>
          <w:lang w:val="en-IE"/>
        </w:rPr>
        <w:t xml:space="preserve">. </w:t>
      </w:r>
      <w:r w:rsidR="00232DD6" w:rsidRPr="0009042B">
        <w:rPr>
          <w:lang w:val="en-IE"/>
        </w:rPr>
        <w:t xml:space="preserve">The additional fields used in these forms are not part of Table 2 </w:t>
      </w:r>
      <w:r w:rsidR="00D9432B" w:rsidRPr="0009042B">
        <w:rPr>
          <w:lang w:val="en-IE"/>
        </w:rPr>
        <w:t xml:space="preserve">of </w:t>
      </w:r>
      <w:r w:rsidR="00232DD6" w:rsidRPr="0009042B">
        <w:rPr>
          <w:lang w:val="en-IE"/>
        </w:rPr>
        <w:t xml:space="preserve">the eForms Implementing Regulation, but the </w:t>
      </w:r>
      <w:r w:rsidR="00395F47" w:rsidRPr="0009042B">
        <w:rPr>
          <w:lang w:val="en-IE"/>
        </w:rPr>
        <w:t>related</w:t>
      </w:r>
      <w:r w:rsidR="00232DD6" w:rsidRPr="0009042B">
        <w:rPr>
          <w:lang w:val="en-IE"/>
        </w:rPr>
        <w:t xml:space="preserve"> schemas that can be used to publish notices under these forms</w:t>
      </w:r>
      <w:r w:rsidR="00395F47" w:rsidRPr="0009042B">
        <w:rPr>
          <w:lang w:val="en-IE"/>
        </w:rPr>
        <w:t xml:space="preserve"> will be made available at a later stage</w:t>
      </w:r>
      <w:r w:rsidR="00232DD6" w:rsidRPr="0009042B">
        <w:rPr>
          <w:lang w:val="en-IE"/>
        </w:rPr>
        <w:t>.</w:t>
      </w:r>
      <w:r w:rsidR="00D02C51" w:rsidRPr="0009042B">
        <w:rPr>
          <w:lang w:val="en-IE"/>
        </w:rPr>
        <w:t xml:space="preserve"> </w:t>
      </w:r>
      <w:r w:rsidR="00083BDA" w:rsidRPr="0009042B">
        <w:rPr>
          <w:lang w:val="en-IE"/>
        </w:rPr>
        <w:t xml:space="preserve">These notices may be useful </w:t>
      </w:r>
      <w:r w:rsidR="00B17546" w:rsidRPr="0009042B">
        <w:rPr>
          <w:lang w:val="en-IE"/>
        </w:rPr>
        <w:t>in</w:t>
      </w:r>
      <w:r w:rsidR="00083BDA" w:rsidRPr="0009042B">
        <w:rPr>
          <w:lang w:val="en-IE"/>
        </w:rPr>
        <w:t xml:space="preserve"> particular national contexts.</w:t>
      </w:r>
      <w:r w:rsidR="00083BDA" w:rsidRPr="0059550D">
        <w:rPr>
          <w:lang w:val="en-IE"/>
        </w:rPr>
        <w:t xml:space="preserve"> </w:t>
      </w:r>
    </w:p>
    <w:p w14:paraId="52ABE923" w14:textId="3EBB9BEA" w:rsidR="000F37E5" w:rsidRDefault="009D27BB" w:rsidP="007B6A58">
      <w:pPr>
        <w:pStyle w:val="Heading3"/>
        <w:rPr>
          <w:lang w:val="en-IE"/>
        </w:rPr>
      </w:pPr>
      <w:bookmarkStart w:id="43" w:name="_Toc25684083"/>
      <w:r>
        <w:rPr>
          <w:lang w:val="en-IE"/>
        </w:rPr>
        <w:t>Specific types of p</w:t>
      </w:r>
      <w:r w:rsidR="000F37E5">
        <w:rPr>
          <w:lang w:val="en-IE"/>
        </w:rPr>
        <w:t>rior information notice</w:t>
      </w:r>
      <w:r>
        <w:rPr>
          <w:lang w:val="en-IE"/>
        </w:rPr>
        <w:t>s</w:t>
      </w:r>
      <w:bookmarkEnd w:id="43"/>
    </w:p>
    <w:p w14:paraId="32F71CD9" w14:textId="1DB6C4EE" w:rsidR="000F37E5" w:rsidRDefault="009D27BB" w:rsidP="000F37E5">
      <w:pPr>
        <w:pStyle w:val="NoSpacing"/>
        <w:rPr>
          <w:lang w:val="en-IE"/>
        </w:rPr>
      </w:pPr>
      <w:r>
        <w:rPr>
          <w:lang w:val="en-IE"/>
        </w:rPr>
        <w:t>The Directives allow</w:t>
      </w:r>
      <w:r>
        <w:rPr>
          <w:rStyle w:val="FootnoteReference"/>
          <w:lang w:val="en-IE"/>
        </w:rPr>
        <w:footnoteReference w:id="28"/>
      </w:r>
      <w:r>
        <w:rPr>
          <w:lang w:val="en-IE"/>
        </w:rPr>
        <w:t xml:space="preserve"> publishing on TED a “</w:t>
      </w:r>
      <w:r w:rsidRPr="009D27BB">
        <w:rPr>
          <w:lang w:val="en-IE"/>
        </w:rPr>
        <w:t>Notice of the publication of a prior information notice on a buyer profile</w:t>
      </w:r>
      <w:r>
        <w:rPr>
          <w:lang w:val="en-IE"/>
        </w:rPr>
        <w:t>”</w:t>
      </w:r>
      <w:r>
        <w:rPr>
          <w:rStyle w:val="FootnoteReference"/>
          <w:lang w:val="en-IE"/>
        </w:rPr>
        <w:footnoteReference w:id="29"/>
      </w:r>
      <w:r>
        <w:rPr>
          <w:lang w:val="en-IE"/>
        </w:rPr>
        <w:t xml:space="preserve">. This notice is used only in a few EU countries and given the ease of publishing a prior information notice itself on TED, its popularity is likely to decline in the future. If not popular </w:t>
      </w:r>
      <w:r w:rsidR="005835DF">
        <w:rPr>
          <w:lang w:val="en-IE"/>
        </w:rPr>
        <w:t xml:space="preserve">amongst </w:t>
      </w:r>
      <w:r>
        <w:rPr>
          <w:lang w:val="en-IE"/>
        </w:rPr>
        <w:t xml:space="preserve">the users of a given implementation, there is no reason to implement </w:t>
      </w:r>
      <w:r w:rsidR="006145FC">
        <w:rPr>
          <w:lang w:val="en-IE"/>
        </w:rPr>
        <w:t xml:space="preserve">these notices (or the fields that only appear in these notices). </w:t>
      </w:r>
    </w:p>
    <w:p w14:paraId="45F6782B" w14:textId="3B4C59C7" w:rsidR="009D27BB" w:rsidRDefault="009D27BB" w:rsidP="000F37E5">
      <w:pPr>
        <w:pStyle w:val="NoSpacing"/>
        <w:rPr>
          <w:lang w:val="en-IE"/>
        </w:rPr>
      </w:pPr>
    </w:p>
    <w:p w14:paraId="55604E09" w14:textId="158D35B8" w:rsidR="003A3734" w:rsidRPr="003A3734" w:rsidRDefault="009D27BB" w:rsidP="003A3734">
      <w:pPr>
        <w:pStyle w:val="NoSpacing"/>
        <w:rPr>
          <w:lang w:val="en-IE"/>
        </w:rPr>
      </w:pPr>
      <w:r>
        <w:rPr>
          <w:lang w:val="en-IE"/>
        </w:rPr>
        <w:t>The Directive</w:t>
      </w:r>
      <w:r w:rsidR="004D1E14">
        <w:rPr>
          <w:lang w:val="en-IE"/>
        </w:rPr>
        <w:t>s</w:t>
      </w:r>
      <w:r>
        <w:rPr>
          <w:lang w:val="en-IE"/>
        </w:rPr>
        <w:t xml:space="preserve"> also allow</w:t>
      </w:r>
      <w:r w:rsidR="004D1E14">
        <w:rPr>
          <w:rStyle w:val="FootnoteReference"/>
          <w:lang w:val="en-IE"/>
        </w:rPr>
        <w:footnoteReference w:id="30"/>
      </w:r>
      <w:r>
        <w:rPr>
          <w:lang w:val="en-IE"/>
        </w:rPr>
        <w:t xml:space="preserve"> publishing on TED a “</w:t>
      </w:r>
      <w:r w:rsidRPr="009D27BB">
        <w:rPr>
          <w:lang w:val="en-IE"/>
        </w:rPr>
        <w:t>Prior information notice used as a call for competition”</w:t>
      </w:r>
      <w:r w:rsidR="004D1E14">
        <w:rPr>
          <w:rStyle w:val="FootnoteReference"/>
          <w:lang w:val="en-IE"/>
        </w:rPr>
        <w:footnoteReference w:id="31"/>
      </w:r>
      <w:r w:rsidR="006145FC">
        <w:rPr>
          <w:lang w:val="en-IE"/>
        </w:rPr>
        <w:t xml:space="preserve">. These notices may be used only by subcentral authorities and for running specific procedures and are </w:t>
      </w:r>
      <w:r w:rsidR="001D72ED">
        <w:rPr>
          <w:lang w:val="en-IE"/>
        </w:rPr>
        <w:t xml:space="preserve">not being used in all countries. </w:t>
      </w:r>
      <w:r w:rsidR="006145FC">
        <w:rPr>
          <w:lang w:val="en-IE"/>
        </w:rPr>
        <w:t xml:space="preserve">Consequently, if not popular </w:t>
      </w:r>
      <w:r w:rsidR="000E201D">
        <w:rPr>
          <w:lang w:val="en-IE"/>
        </w:rPr>
        <w:t>amongst</w:t>
      </w:r>
      <w:r w:rsidR="006145FC">
        <w:rPr>
          <w:lang w:val="en-IE"/>
        </w:rPr>
        <w:t xml:space="preserve"> users of a given implementation, </w:t>
      </w:r>
      <w:r w:rsidR="004F44F1">
        <w:rPr>
          <w:lang w:val="en-IE"/>
        </w:rPr>
        <w:t xml:space="preserve">it may not be necessary </w:t>
      </w:r>
      <w:r w:rsidR="006145FC">
        <w:rPr>
          <w:lang w:val="en-IE"/>
        </w:rPr>
        <w:t>to implement them (or the fields that only appear in these notices).</w:t>
      </w:r>
    </w:p>
    <w:p w14:paraId="35BA14F8" w14:textId="36544F52" w:rsidR="00FF77C0" w:rsidRPr="0059550D" w:rsidRDefault="00D90BE6" w:rsidP="00FF77C0">
      <w:pPr>
        <w:pStyle w:val="Heading3"/>
        <w:rPr>
          <w:lang w:val="en-IE"/>
        </w:rPr>
      </w:pPr>
      <w:r w:rsidRPr="0059550D">
        <w:rPr>
          <w:lang w:val="en-IE"/>
        </w:rPr>
        <w:t>Preliminary market consultation</w:t>
      </w:r>
      <w:r w:rsidR="004F088C" w:rsidRPr="0059550D">
        <w:rPr>
          <w:lang w:val="en-IE"/>
        </w:rPr>
        <w:t xml:space="preserve"> </w:t>
      </w:r>
      <w:r w:rsidR="0033171E">
        <w:rPr>
          <w:lang w:val="en-IE"/>
        </w:rPr>
        <w:t>notice</w:t>
      </w:r>
    </w:p>
    <w:p w14:paraId="64612034" w14:textId="5B73C9BD" w:rsidR="00A47F31" w:rsidRPr="0059550D" w:rsidRDefault="00A47F31" w:rsidP="00214E3A">
      <w:pPr>
        <w:pStyle w:val="NoSpacing"/>
        <w:rPr>
          <w:lang w:val="en-IE"/>
        </w:rPr>
      </w:pPr>
    </w:p>
    <w:p w14:paraId="12041611" w14:textId="230D9FE9" w:rsidR="00771977" w:rsidRPr="0059550D" w:rsidRDefault="00BB0268" w:rsidP="00214E3A">
      <w:pPr>
        <w:pStyle w:val="NoSpacing"/>
        <w:rPr>
          <w:vertAlign w:val="subscript"/>
          <w:lang w:val="en-IE"/>
        </w:rPr>
      </w:pPr>
      <w:r w:rsidRPr="0059550D">
        <w:rPr>
          <w:lang w:val="en-IE"/>
        </w:rPr>
        <w:t xml:space="preserve">The preliminary market consultation </w:t>
      </w:r>
      <w:r w:rsidR="0033171E">
        <w:rPr>
          <w:lang w:val="en-IE"/>
        </w:rPr>
        <w:t>notice</w:t>
      </w:r>
      <w:r w:rsidR="0033171E" w:rsidRPr="0059550D">
        <w:rPr>
          <w:lang w:val="en-IE"/>
        </w:rPr>
        <w:t xml:space="preserve"> </w:t>
      </w:r>
      <w:r w:rsidR="00F313AA">
        <w:rPr>
          <w:lang w:val="en-IE"/>
        </w:rPr>
        <w:t>aims at</w:t>
      </w:r>
      <w:r w:rsidR="00F313AA" w:rsidRPr="0059550D">
        <w:rPr>
          <w:lang w:val="en-IE"/>
        </w:rPr>
        <w:t xml:space="preserve"> </w:t>
      </w:r>
      <w:r w:rsidRPr="0059550D">
        <w:rPr>
          <w:lang w:val="en-IE"/>
        </w:rPr>
        <w:t xml:space="preserve">informing economic operators about </w:t>
      </w:r>
      <w:r w:rsidR="00130508" w:rsidRPr="0059550D">
        <w:rPr>
          <w:lang w:val="en-IE"/>
        </w:rPr>
        <w:t>market consultations. Some EU countries have requested such a form</w:t>
      </w:r>
      <w:r w:rsidR="00130508" w:rsidRPr="0059550D">
        <w:rPr>
          <w:rStyle w:val="FootnoteReference"/>
          <w:lang w:val="en-IE"/>
        </w:rPr>
        <w:footnoteReference w:id="32"/>
      </w:r>
      <w:r w:rsidR="00130508" w:rsidRPr="0059550D">
        <w:rPr>
          <w:lang w:val="en-IE"/>
        </w:rPr>
        <w:t xml:space="preserve">, because they use it frequently </w:t>
      </w:r>
      <w:r w:rsidR="00CB5C3F" w:rsidRPr="0059550D">
        <w:rPr>
          <w:lang w:val="en-IE"/>
        </w:rPr>
        <w:t>at national level and wish to also tap into the broader EU market. The form is distinct from a prior information notice, in particular as, besides planning the procurement, it is used to collect information to prepare the procurement, learn what the market has to offer, etc. For more information on preliminary market consultation</w:t>
      </w:r>
      <w:r w:rsidR="003250CE" w:rsidRPr="0059550D">
        <w:rPr>
          <w:lang w:val="en-IE"/>
        </w:rPr>
        <w:t>s</w:t>
      </w:r>
      <w:r w:rsidR="00CB5C3F" w:rsidRPr="0059550D">
        <w:rPr>
          <w:lang w:val="en-IE"/>
        </w:rPr>
        <w:t>, see the “Guidance on Innovation Procurement</w:t>
      </w:r>
      <w:r w:rsidR="00CB5C3F" w:rsidRPr="0059550D">
        <w:rPr>
          <w:rStyle w:val="FootnoteReference"/>
          <w:lang w:val="en-IE"/>
        </w:rPr>
        <w:footnoteReference w:id="33"/>
      </w:r>
      <w:r w:rsidR="00CB5C3F" w:rsidRPr="0059550D">
        <w:rPr>
          <w:lang w:val="en-IE"/>
        </w:rPr>
        <w:t xml:space="preserve">”. </w:t>
      </w:r>
    </w:p>
    <w:p w14:paraId="7B765E6E" w14:textId="3A56A1D6" w:rsidR="00771977" w:rsidRPr="0059550D" w:rsidRDefault="00771977" w:rsidP="00214E3A">
      <w:pPr>
        <w:pStyle w:val="NoSpacing"/>
        <w:rPr>
          <w:lang w:val="en-IE"/>
        </w:rPr>
      </w:pPr>
    </w:p>
    <w:p w14:paraId="28AC03CE" w14:textId="56ADA82A" w:rsidR="00771977" w:rsidRPr="0059550D" w:rsidRDefault="003E7AAA" w:rsidP="00214E3A">
      <w:pPr>
        <w:pStyle w:val="NoSpacing"/>
        <w:rPr>
          <w:lang w:val="en-IE"/>
        </w:rPr>
      </w:pPr>
      <w:r w:rsidRPr="0059550D">
        <w:rPr>
          <w:lang w:val="en-IE"/>
        </w:rPr>
        <w:lastRenderedPageBreak/>
        <w:t>The preliminary market consultation form</w:t>
      </w:r>
      <w:r w:rsidR="00AE6819">
        <w:rPr>
          <w:rStyle w:val="FootnoteReference"/>
          <w:lang w:val="en-IE"/>
        </w:rPr>
        <w:footnoteReference w:id="34"/>
      </w:r>
      <w:r w:rsidRPr="0059550D">
        <w:rPr>
          <w:lang w:val="en-IE"/>
        </w:rPr>
        <w:t xml:space="preserve"> is marked as E</w:t>
      </w:r>
      <w:r w:rsidR="00117490" w:rsidRPr="0059550D">
        <w:rPr>
          <w:lang w:val="en-IE"/>
        </w:rPr>
        <w:t xml:space="preserve">xtended </w:t>
      </w:r>
      <w:r w:rsidR="003A1B0E" w:rsidRPr="0059550D">
        <w:rPr>
          <w:lang w:val="en-IE"/>
        </w:rPr>
        <w:t>1</w:t>
      </w:r>
      <w:r w:rsidRPr="0059550D">
        <w:rPr>
          <w:lang w:val="en-IE"/>
        </w:rPr>
        <w:t xml:space="preserve"> (E for Extended)</w:t>
      </w:r>
      <w:r w:rsidR="0053585B">
        <w:rPr>
          <w:lang w:val="en-IE"/>
        </w:rPr>
        <w:t xml:space="preserve"> in the Annex to the Implementing Regulation</w:t>
      </w:r>
      <w:r w:rsidRPr="0059550D">
        <w:rPr>
          <w:lang w:val="en-IE"/>
        </w:rPr>
        <w:t>.</w:t>
      </w:r>
      <w:r w:rsidR="004C14E0" w:rsidRPr="0059550D">
        <w:rPr>
          <w:lang w:val="en-IE"/>
        </w:rPr>
        <w:t xml:space="preserve"> </w:t>
      </w:r>
    </w:p>
    <w:p w14:paraId="3EC343E3" w14:textId="38610C21" w:rsidR="00FF77C0" w:rsidRPr="0059550D" w:rsidRDefault="00FF77C0" w:rsidP="00FF77C0">
      <w:pPr>
        <w:pStyle w:val="Heading3"/>
        <w:rPr>
          <w:lang w:val="en-IE"/>
        </w:rPr>
      </w:pPr>
      <w:bookmarkStart w:id="44" w:name="_Ref19625008"/>
      <w:r w:rsidRPr="0059550D">
        <w:rPr>
          <w:lang w:val="en-IE"/>
        </w:rPr>
        <w:t>Contract completion</w:t>
      </w:r>
      <w:r w:rsidR="004F088C" w:rsidRPr="0059550D">
        <w:rPr>
          <w:lang w:val="en-IE"/>
        </w:rPr>
        <w:t xml:space="preserve"> form</w:t>
      </w:r>
      <w:bookmarkEnd w:id="44"/>
    </w:p>
    <w:p w14:paraId="6410347A" w14:textId="7E1B0E0C" w:rsidR="00FF77C0" w:rsidRPr="0059550D" w:rsidRDefault="00FF77C0" w:rsidP="00FF77C0">
      <w:pPr>
        <w:rPr>
          <w:lang w:val="en-IE"/>
        </w:rPr>
      </w:pPr>
    </w:p>
    <w:p w14:paraId="68522BA0" w14:textId="34C3CD74" w:rsidR="00F778A5" w:rsidRPr="0059550D" w:rsidRDefault="00F778A5" w:rsidP="00CF5294">
      <w:pPr>
        <w:pStyle w:val="NoSpacing"/>
        <w:rPr>
          <w:lang w:val="en-IE"/>
        </w:rPr>
      </w:pPr>
      <w:r w:rsidRPr="0059550D">
        <w:rPr>
          <w:lang w:val="en-IE"/>
        </w:rPr>
        <w:t xml:space="preserve">In the </w:t>
      </w:r>
      <w:r w:rsidR="00DC03AC">
        <w:rPr>
          <w:lang w:val="en-IE"/>
        </w:rPr>
        <w:t>D</w:t>
      </w:r>
      <w:r w:rsidRPr="0059550D">
        <w:rPr>
          <w:lang w:val="en-IE"/>
        </w:rPr>
        <w:t xml:space="preserve">irectives, the last </w:t>
      </w:r>
      <w:r w:rsidR="007225F9" w:rsidRPr="0059550D">
        <w:rPr>
          <w:lang w:val="en-IE"/>
        </w:rPr>
        <w:t xml:space="preserve">notices to be published in a procedure are contract award notices and, where appropriate, </w:t>
      </w:r>
      <w:r w:rsidR="001B0224" w:rsidRPr="0059550D">
        <w:rPr>
          <w:lang w:val="en-IE"/>
        </w:rPr>
        <w:t xml:space="preserve">certain types of </w:t>
      </w:r>
      <w:r w:rsidR="007225F9" w:rsidRPr="0059550D">
        <w:rPr>
          <w:lang w:val="en-IE"/>
        </w:rPr>
        <w:t xml:space="preserve">modifications. </w:t>
      </w:r>
      <w:r w:rsidR="001B0224" w:rsidRPr="0059550D">
        <w:rPr>
          <w:lang w:val="en-IE"/>
        </w:rPr>
        <w:t xml:space="preserve">However, this does not ensure the publication of important information from </w:t>
      </w:r>
      <w:r w:rsidR="00DC03AC">
        <w:rPr>
          <w:lang w:val="en-IE"/>
        </w:rPr>
        <w:t xml:space="preserve">a transparency </w:t>
      </w:r>
      <w:r w:rsidR="001B0224" w:rsidRPr="0059550D">
        <w:rPr>
          <w:lang w:val="en-IE"/>
        </w:rPr>
        <w:t xml:space="preserve">point of view, such as the actual date when the contract was completed, the actual amount of money paid, </w:t>
      </w:r>
      <w:r w:rsidR="00102218" w:rsidRPr="0059550D">
        <w:rPr>
          <w:lang w:val="en-IE"/>
        </w:rPr>
        <w:t xml:space="preserve">the subcontractors used and the complaints received. Such information is already collected and published in various EU countries and the contract completion form allow doing so using the same standard as eForms. </w:t>
      </w:r>
    </w:p>
    <w:p w14:paraId="75E30275" w14:textId="72C9D591" w:rsidR="00A209F8" w:rsidRPr="0059550D" w:rsidRDefault="00A209F8" w:rsidP="00F778A5">
      <w:pPr>
        <w:textAlignment w:val="baseline"/>
        <w:rPr>
          <w:lang w:val="en-IE"/>
        </w:rPr>
      </w:pPr>
    </w:p>
    <w:p w14:paraId="39C419FF" w14:textId="47D600F1" w:rsidR="00F778A5" w:rsidRPr="0059550D" w:rsidRDefault="00A209F8" w:rsidP="005B1441">
      <w:pPr>
        <w:jc w:val="both"/>
        <w:textAlignment w:val="baseline"/>
        <w:rPr>
          <w:lang w:val="en-IE"/>
        </w:rPr>
      </w:pPr>
      <w:r w:rsidRPr="0059550D">
        <w:rPr>
          <w:lang w:val="en-IE"/>
        </w:rPr>
        <w:t>As the name suggests, the contract completion notice</w:t>
      </w:r>
      <w:r w:rsidR="00DC03AC">
        <w:rPr>
          <w:rStyle w:val="FootnoteReference"/>
          <w:lang w:val="en-IE"/>
        </w:rPr>
        <w:footnoteReference w:id="35"/>
      </w:r>
      <w:r w:rsidRPr="0059550D">
        <w:rPr>
          <w:lang w:val="en-IE"/>
        </w:rPr>
        <w:t xml:space="preserve"> is published once a contract has been completed. </w:t>
      </w:r>
      <w:r w:rsidR="00EF009A" w:rsidRPr="0059550D">
        <w:rPr>
          <w:lang w:val="en-IE"/>
        </w:rPr>
        <w:t xml:space="preserve">The </w:t>
      </w:r>
      <w:r w:rsidR="00EE3AFD">
        <w:rPr>
          <w:lang w:val="en-IE"/>
        </w:rPr>
        <w:t>Contract completion form</w:t>
      </w:r>
      <w:r w:rsidR="00EF009A" w:rsidRPr="0059550D">
        <w:rPr>
          <w:lang w:val="en-IE"/>
        </w:rPr>
        <w:t xml:space="preserve"> is marked as Extended </w:t>
      </w:r>
      <w:r w:rsidR="00117490" w:rsidRPr="0059550D">
        <w:rPr>
          <w:lang w:val="en-IE"/>
        </w:rPr>
        <w:t>5</w:t>
      </w:r>
      <w:r w:rsidR="0053585B">
        <w:rPr>
          <w:lang w:val="en-IE"/>
        </w:rPr>
        <w:t xml:space="preserve"> in the Annex to the Implementing Regulation</w:t>
      </w:r>
      <w:r w:rsidR="0079153B" w:rsidRPr="0059550D">
        <w:rPr>
          <w:lang w:val="en-IE"/>
        </w:rPr>
        <w:t xml:space="preserve">. </w:t>
      </w:r>
    </w:p>
    <w:p w14:paraId="0F6197FC" w14:textId="592EE509" w:rsidR="00EC7055" w:rsidRDefault="00EC7055" w:rsidP="00487E57">
      <w:pPr>
        <w:pStyle w:val="NoSpacing"/>
        <w:rPr>
          <w:lang w:val="en-IE"/>
        </w:rPr>
      </w:pPr>
    </w:p>
    <w:p w14:paraId="4F132869" w14:textId="3257FC15" w:rsidR="002018B7" w:rsidRPr="002018B7" w:rsidRDefault="002018B7" w:rsidP="00487E57">
      <w:pPr>
        <w:pStyle w:val="NoSpacing"/>
        <w:rPr>
          <w:lang w:val="en-US"/>
        </w:rPr>
      </w:pPr>
      <w:r>
        <w:rPr>
          <w:lang w:val="en-US"/>
        </w:rPr>
        <w:t xml:space="preserve">Even though the </w:t>
      </w:r>
      <w:r w:rsidRPr="009727E0">
        <w:rPr>
          <w:b/>
          <w:lang w:val="en-US"/>
        </w:rPr>
        <w:t>review</w:t>
      </w:r>
      <w:r>
        <w:rPr>
          <w:lang w:val="en-US"/>
        </w:rPr>
        <w:t xml:space="preserve"> process</w:t>
      </w:r>
      <w:r w:rsidR="00DC03AC">
        <w:rPr>
          <w:rStyle w:val="FootnoteReference"/>
          <w:lang w:val="en-US"/>
        </w:rPr>
        <w:footnoteReference w:id="36"/>
      </w:r>
      <w:r w:rsidR="00DC03AC">
        <w:rPr>
          <w:lang w:val="en-US"/>
        </w:rPr>
        <w:t xml:space="preserve"> </w:t>
      </w:r>
      <w:r>
        <w:rPr>
          <w:lang w:val="en-US"/>
        </w:rPr>
        <w:t xml:space="preserve">is typically finished by the time one of the </w:t>
      </w:r>
      <w:r w:rsidR="00DC03AC">
        <w:rPr>
          <w:lang w:val="en-US"/>
        </w:rPr>
        <w:t>‘</w:t>
      </w:r>
      <w:r>
        <w:rPr>
          <w:lang w:val="en-US"/>
        </w:rPr>
        <w:t>Result</w:t>
      </w:r>
      <w:r w:rsidR="00DC03AC">
        <w:rPr>
          <w:lang w:val="en-US"/>
        </w:rPr>
        <w:t>’</w:t>
      </w:r>
      <w:r>
        <w:rPr>
          <w:lang w:val="en-US"/>
        </w:rPr>
        <w:t xml:space="preserve"> notices is published, there can be cases when it is resolved only later, which is why it is included in the completion notice. The data required by this section would typically come from a remedy body, i.e. a different source than other procurement data. This may be easier in some countries (e.g. those with administrative review bodies) and harder in </w:t>
      </w:r>
      <w:r w:rsidR="00812EC4">
        <w:rPr>
          <w:lang w:val="en-US"/>
        </w:rPr>
        <w:t xml:space="preserve">others </w:t>
      </w:r>
      <w:r>
        <w:rPr>
          <w:lang w:val="en-US"/>
        </w:rPr>
        <w:t>(e.g. with judicial review bodies and undeveloped eJustice systems). However, the contract completion notice can be used both with and without the Review section.</w:t>
      </w:r>
    </w:p>
    <w:p w14:paraId="4FFAD271" w14:textId="5CEA43B7" w:rsidR="00EC7055" w:rsidRPr="0059550D" w:rsidRDefault="00EC7055" w:rsidP="00EC7055">
      <w:pPr>
        <w:textAlignment w:val="baseline"/>
        <w:rPr>
          <w:lang w:val="en-IE"/>
        </w:rPr>
      </w:pPr>
    </w:p>
    <w:p w14:paraId="4EFB8EF3" w14:textId="32B33E24" w:rsidR="00F058E8" w:rsidRPr="0059550D" w:rsidRDefault="00375BC3" w:rsidP="002018B7">
      <w:pPr>
        <w:pStyle w:val="NoSpacing"/>
        <w:rPr>
          <w:lang w:val="en-IE"/>
        </w:rPr>
      </w:pPr>
      <w:r w:rsidRPr="009B3EE0">
        <w:rPr>
          <w:lang w:val="en-IE"/>
        </w:rPr>
        <w:t xml:space="preserve">The form </w:t>
      </w:r>
      <w:r w:rsidR="00A84357">
        <w:rPr>
          <w:lang w:val="en-IE"/>
        </w:rPr>
        <w:t xml:space="preserve">should </w:t>
      </w:r>
      <w:r w:rsidR="00E0415F" w:rsidRPr="009B3EE0">
        <w:rPr>
          <w:lang w:val="en-IE"/>
        </w:rPr>
        <w:t xml:space="preserve">follow the standard forms’ design approach of cumulative collection of information, i.e. the completion form </w:t>
      </w:r>
      <w:r w:rsidR="00A84357">
        <w:rPr>
          <w:lang w:val="en-IE"/>
        </w:rPr>
        <w:t>should reuse</w:t>
      </w:r>
      <w:r w:rsidR="00A84357" w:rsidRPr="009B3EE0">
        <w:rPr>
          <w:lang w:val="en-IE"/>
        </w:rPr>
        <w:t xml:space="preserve"> </w:t>
      </w:r>
      <w:r w:rsidR="00E0415F" w:rsidRPr="009B3EE0">
        <w:rPr>
          <w:lang w:val="en-IE"/>
        </w:rPr>
        <w:t xml:space="preserve">information </w:t>
      </w:r>
      <w:r w:rsidR="00354DE4" w:rsidRPr="009B3EE0">
        <w:rPr>
          <w:lang w:val="en-IE"/>
        </w:rPr>
        <w:t xml:space="preserve">from </w:t>
      </w:r>
      <w:r w:rsidR="00A84357">
        <w:rPr>
          <w:lang w:val="en-IE"/>
        </w:rPr>
        <w:t>previous notices</w:t>
      </w:r>
      <w:r w:rsidR="00354DE4" w:rsidRPr="009B3EE0">
        <w:rPr>
          <w:lang w:val="en-IE"/>
        </w:rPr>
        <w:t xml:space="preserve">. </w:t>
      </w:r>
      <w:bookmarkStart w:id="45" w:name="_Toc25684084"/>
      <w:bookmarkEnd w:id="45"/>
    </w:p>
    <w:p w14:paraId="356C3286" w14:textId="359D4C08" w:rsidR="00181CDE" w:rsidRPr="0059550D" w:rsidRDefault="00181CDE" w:rsidP="00232C49">
      <w:pPr>
        <w:pStyle w:val="Heading2"/>
        <w:rPr>
          <w:lang w:val="en-IE"/>
        </w:rPr>
      </w:pPr>
      <w:bookmarkStart w:id="46" w:name="_Ref19291697"/>
      <w:bookmarkStart w:id="47" w:name="_Toc25684085"/>
      <w:r w:rsidRPr="0059550D">
        <w:rPr>
          <w:lang w:val="en-IE"/>
        </w:rPr>
        <w:t>Tailoring fields</w:t>
      </w:r>
      <w:bookmarkEnd w:id="46"/>
      <w:bookmarkEnd w:id="47"/>
    </w:p>
    <w:p w14:paraId="588D18CA" w14:textId="0C982211" w:rsidR="00244726" w:rsidRPr="0059550D" w:rsidRDefault="00244726" w:rsidP="00244726">
      <w:pPr>
        <w:pStyle w:val="NoSpacing"/>
        <w:rPr>
          <w:lang w:val="en-IE"/>
        </w:rPr>
      </w:pPr>
    </w:p>
    <w:p w14:paraId="4DDA147E" w14:textId="445406C9" w:rsidR="000C27B5" w:rsidRPr="0059550D" w:rsidRDefault="00244726" w:rsidP="00CF0D2E">
      <w:pPr>
        <w:pStyle w:val="NoSpacing"/>
        <w:rPr>
          <w:lang w:val="en-IE"/>
        </w:rPr>
      </w:pPr>
      <w:r w:rsidRPr="0059550D">
        <w:rPr>
          <w:lang w:val="en-IE"/>
        </w:rPr>
        <w:t xml:space="preserve">Fields are the core </w:t>
      </w:r>
      <w:r w:rsidR="00A156C0" w:rsidRPr="0059550D">
        <w:rPr>
          <w:lang w:val="en-IE"/>
        </w:rPr>
        <w:t xml:space="preserve">of eForms. </w:t>
      </w:r>
      <w:r w:rsidR="00812EC4">
        <w:rPr>
          <w:lang w:val="en-IE"/>
        </w:rPr>
        <w:t>T</w:t>
      </w:r>
      <w:r w:rsidR="00A156C0" w:rsidRPr="0059550D">
        <w:rPr>
          <w:lang w:val="en-IE"/>
        </w:rPr>
        <w:t xml:space="preserve">hey </w:t>
      </w:r>
      <w:r w:rsidR="00DC1150" w:rsidRPr="0059550D">
        <w:rPr>
          <w:lang w:val="en-IE"/>
        </w:rPr>
        <w:t>need to</w:t>
      </w:r>
      <w:r w:rsidR="00A156C0" w:rsidRPr="0059550D">
        <w:rPr>
          <w:lang w:val="en-IE"/>
        </w:rPr>
        <w:t xml:space="preserve"> be tailored </w:t>
      </w:r>
      <w:r w:rsidR="000309E3" w:rsidRPr="0059550D">
        <w:rPr>
          <w:lang w:val="en-IE"/>
        </w:rPr>
        <w:t>by m</w:t>
      </w:r>
      <w:r w:rsidR="008A6041" w:rsidRPr="0059550D">
        <w:rPr>
          <w:lang w:val="en-IE"/>
        </w:rPr>
        <w:t xml:space="preserve">aking </w:t>
      </w:r>
      <w:r w:rsidR="00DC1150" w:rsidRPr="0059550D">
        <w:rPr>
          <w:lang w:val="en-IE"/>
        </w:rPr>
        <w:t xml:space="preserve">optional fields mandatory, </w:t>
      </w:r>
      <w:r w:rsidR="008A6041" w:rsidRPr="0059550D">
        <w:rPr>
          <w:lang w:val="en-IE"/>
        </w:rPr>
        <w:t xml:space="preserve">leaving them </w:t>
      </w:r>
      <w:r w:rsidR="00DC1150" w:rsidRPr="0059550D">
        <w:rPr>
          <w:lang w:val="en-IE"/>
        </w:rPr>
        <w:t xml:space="preserve">optional or not </w:t>
      </w:r>
      <w:r w:rsidR="008A6041" w:rsidRPr="0059550D">
        <w:rPr>
          <w:lang w:val="en-IE"/>
        </w:rPr>
        <w:t xml:space="preserve">using them </w:t>
      </w:r>
      <w:r w:rsidR="00DC1150" w:rsidRPr="0059550D">
        <w:rPr>
          <w:lang w:val="en-IE"/>
        </w:rPr>
        <w:t>at all.</w:t>
      </w:r>
      <w:r w:rsidR="000309E3" w:rsidRPr="0059550D">
        <w:rPr>
          <w:lang w:val="en-IE"/>
        </w:rPr>
        <w:t xml:space="preserve"> </w:t>
      </w:r>
      <w:r w:rsidR="00812EC4">
        <w:rPr>
          <w:lang w:val="en-IE"/>
        </w:rPr>
        <w:t>T</w:t>
      </w:r>
      <w:r w:rsidR="000309E3" w:rsidRPr="0059550D">
        <w:rPr>
          <w:lang w:val="en-IE"/>
        </w:rPr>
        <w:t>hey can also be tailored by m</w:t>
      </w:r>
      <w:r w:rsidR="008A6041" w:rsidRPr="0059550D">
        <w:rPr>
          <w:lang w:val="en-IE"/>
        </w:rPr>
        <w:t>aking certain fields always or never</w:t>
      </w:r>
      <w:r w:rsidR="00812EC4">
        <w:rPr>
          <w:lang w:val="en-IE"/>
        </w:rPr>
        <w:t xml:space="preserve"> published</w:t>
      </w:r>
      <w:r w:rsidR="0005701B">
        <w:rPr>
          <w:lang w:val="en-IE"/>
        </w:rPr>
        <w:t xml:space="preserve"> (instead of letting buyers decide </w:t>
      </w:r>
      <w:r w:rsidR="00C533C9" w:rsidRPr="0059550D">
        <w:rPr>
          <w:lang w:val="en-IE"/>
        </w:rPr>
        <w:t xml:space="preserve">case by </w:t>
      </w:r>
      <w:r w:rsidR="00E65CBB" w:rsidRPr="0059550D">
        <w:rPr>
          <w:lang w:val="en-IE"/>
        </w:rPr>
        <w:t>case</w:t>
      </w:r>
      <w:r w:rsidR="0005701B">
        <w:rPr>
          <w:lang w:val="en-IE"/>
        </w:rPr>
        <w:t>)</w:t>
      </w:r>
      <w:r w:rsidR="00CF0D2E" w:rsidRPr="0059550D">
        <w:rPr>
          <w:lang w:val="en-IE"/>
        </w:rPr>
        <w:t>; and by m</w:t>
      </w:r>
      <w:r w:rsidR="000C27B5" w:rsidRPr="0059550D">
        <w:rPr>
          <w:lang w:val="en-IE"/>
        </w:rPr>
        <w:t xml:space="preserve">aking certain fields always identical for the whole procedure, not differentiable per lot. </w:t>
      </w:r>
    </w:p>
    <w:p w14:paraId="243BE33F" w14:textId="12271DA1" w:rsidR="00085013" w:rsidRPr="0059550D" w:rsidRDefault="00085013" w:rsidP="00DD5BD1">
      <w:pPr>
        <w:rPr>
          <w:lang w:val="en-IE"/>
        </w:rPr>
      </w:pPr>
    </w:p>
    <w:p w14:paraId="00EAB3F6" w14:textId="1E6EDA94" w:rsidR="00085013" w:rsidRPr="0059550D" w:rsidRDefault="00085013" w:rsidP="00085013">
      <w:pPr>
        <w:pStyle w:val="NoSpacing"/>
        <w:rPr>
          <w:lang w:val="en-IE"/>
        </w:rPr>
      </w:pPr>
      <w:r w:rsidRPr="0059550D">
        <w:rPr>
          <w:lang w:val="en-IE"/>
        </w:rPr>
        <w:t xml:space="preserve">The main fields to be tailored are listed in </w:t>
      </w:r>
      <w:r w:rsidR="00DC63A1">
        <w:rPr>
          <w:lang w:val="en-IE"/>
        </w:rPr>
        <w:t>Checklis</w:t>
      </w:r>
      <w:r w:rsidR="00DD7A1E">
        <w:rPr>
          <w:lang w:val="en-IE"/>
        </w:rPr>
        <w:t>t</w:t>
      </w:r>
      <w:r w:rsidR="00DC63A1">
        <w:rPr>
          <w:lang w:val="en-IE"/>
        </w:rPr>
        <w:t xml:space="preserve"> I – Tailoring fields - </w:t>
      </w:r>
      <w:r w:rsidRPr="0059550D">
        <w:rPr>
          <w:lang w:val="en-IE"/>
        </w:rPr>
        <w:t xml:space="preserve"> together with considerations for each field. </w:t>
      </w:r>
      <w:r w:rsidR="001D72ED">
        <w:rPr>
          <w:lang w:val="en-IE"/>
        </w:rPr>
        <w:t xml:space="preserve">There are </w:t>
      </w:r>
      <w:r w:rsidR="001D72ED" w:rsidRPr="00EB186D">
        <w:rPr>
          <w:b/>
          <w:lang w:val="en-IE"/>
        </w:rPr>
        <w:t>more than 50 optional fields</w:t>
      </w:r>
      <w:r w:rsidR="001D72ED">
        <w:rPr>
          <w:lang w:val="en-IE"/>
        </w:rPr>
        <w:t xml:space="preserve"> that </w:t>
      </w:r>
      <w:r w:rsidR="00DD7A1E">
        <w:rPr>
          <w:lang w:val="en-IE"/>
        </w:rPr>
        <w:t>can</w:t>
      </w:r>
      <w:r w:rsidR="001D72ED">
        <w:rPr>
          <w:lang w:val="en-IE"/>
        </w:rPr>
        <w:t xml:space="preserve"> be tailored.</w:t>
      </w:r>
    </w:p>
    <w:p w14:paraId="62ABCE2E" w14:textId="29E1252F" w:rsidR="00232C49" w:rsidRPr="0059550D" w:rsidRDefault="001A27FF" w:rsidP="00FC0EBB">
      <w:pPr>
        <w:pStyle w:val="Heading3"/>
        <w:rPr>
          <w:lang w:val="en-IE"/>
        </w:rPr>
      </w:pPr>
      <w:bookmarkStart w:id="48" w:name="_Toc25684086"/>
      <w:r w:rsidRPr="0059550D">
        <w:rPr>
          <w:lang w:val="en-IE"/>
        </w:rPr>
        <w:t xml:space="preserve">Making </w:t>
      </w:r>
      <w:r w:rsidR="002240AA" w:rsidRPr="0059550D">
        <w:rPr>
          <w:lang w:val="en-IE"/>
        </w:rPr>
        <w:t>optional</w:t>
      </w:r>
      <w:r w:rsidR="00232C49" w:rsidRPr="0059550D">
        <w:rPr>
          <w:lang w:val="en-IE"/>
        </w:rPr>
        <w:t xml:space="preserve"> fields mandatory</w:t>
      </w:r>
      <w:r w:rsidR="003E1312" w:rsidRPr="0059550D">
        <w:rPr>
          <w:lang w:val="en-IE"/>
        </w:rPr>
        <w:t>, leaving them optional, or not using them at all</w:t>
      </w:r>
      <w:bookmarkEnd w:id="48"/>
    </w:p>
    <w:p w14:paraId="04E925F8" w14:textId="6E258860" w:rsidR="00D54DC2" w:rsidRPr="0059550D" w:rsidRDefault="007954E8" w:rsidP="00CE6D86">
      <w:pPr>
        <w:pStyle w:val="Text2"/>
        <w:spacing w:after="0"/>
        <w:ind w:left="0"/>
        <w:rPr>
          <w:rFonts w:asciiTheme="minorHAnsi" w:hAnsiTheme="minorHAnsi" w:cstheme="minorHAnsi"/>
          <w:sz w:val="22"/>
          <w:szCs w:val="22"/>
          <w:lang w:val="en-IE"/>
        </w:rPr>
      </w:pPr>
      <w:r w:rsidRPr="0059550D">
        <w:rPr>
          <w:rFonts w:asciiTheme="minorHAnsi" w:hAnsiTheme="minorHAnsi" w:cstheme="minorHAnsi"/>
          <w:sz w:val="22"/>
          <w:szCs w:val="22"/>
          <w:lang w:val="en-IE"/>
        </w:rPr>
        <w:t xml:space="preserve">Fields that are optional in the </w:t>
      </w:r>
      <w:r w:rsidR="00AF52B4" w:rsidRPr="0059550D">
        <w:rPr>
          <w:rFonts w:asciiTheme="minorHAnsi" w:hAnsiTheme="minorHAnsi" w:cstheme="minorHAnsi"/>
          <w:sz w:val="22"/>
          <w:szCs w:val="22"/>
          <w:lang w:val="en-IE"/>
        </w:rPr>
        <w:t xml:space="preserve">eForms </w:t>
      </w:r>
      <w:r w:rsidRPr="0059550D">
        <w:rPr>
          <w:rFonts w:asciiTheme="minorHAnsi" w:hAnsiTheme="minorHAnsi" w:cstheme="minorHAnsi"/>
          <w:sz w:val="22"/>
          <w:szCs w:val="22"/>
          <w:lang w:val="en-IE"/>
        </w:rPr>
        <w:t xml:space="preserve">Regulation </w:t>
      </w:r>
      <w:r w:rsidR="00AF52B4" w:rsidRPr="0059550D">
        <w:rPr>
          <w:rFonts w:asciiTheme="minorHAnsi" w:hAnsiTheme="minorHAnsi" w:cstheme="minorHAnsi"/>
          <w:sz w:val="22"/>
          <w:szCs w:val="22"/>
          <w:lang w:val="en-IE"/>
        </w:rPr>
        <w:t xml:space="preserve">can </w:t>
      </w:r>
      <w:r w:rsidRPr="0059550D">
        <w:rPr>
          <w:rFonts w:asciiTheme="minorHAnsi" w:hAnsiTheme="minorHAnsi" w:cstheme="minorHAnsi"/>
          <w:sz w:val="22"/>
          <w:szCs w:val="22"/>
          <w:lang w:val="en-IE"/>
        </w:rPr>
        <w:t xml:space="preserve">be implemented in three ways: </w:t>
      </w:r>
    </w:p>
    <w:p w14:paraId="3C209877" w14:textId="71F1BD72" w:rsidR="00595C02" w:rsidRPr="0059550D" w:rsidRDefault="00595C02" w:rsidP="00DC6C47">
      <w:pPr>
        <w:pStyle w:val="Text2"/>
        <w:numPr>
          <w:ilvl w:val="0"/>
          <w:numId w:val="18"/>
        </w:numPr>
        <w:spacing w:after="0"/>
        <w:rPr>
          <w:rFonts w:asciiTheme="minorHAnsi" w:hAnsiTheme="minorHAnsi" w:cstheme="minorHAnsi"/>
          <w:sz w:val="22"/>
          <w:szCs w:val="22"/>
          <w:lang w:val="en-IE"/>
        </w:rPr>
      </w:pPr>
      <w:r w:rsidRPr="0059550D">
        <w:rPr>
          <w:rFonts w:asciiTheme="minorHAnsi" w:hAnsiTheme="minorHAnsi" w:cstheme="minorHAnsi"/>
          <w:sz w:val="22"/>
          <w:szCs w:val="22"/>
          <w:lang w:val="en-IE"/>
        </w:rPr>
        <w:lastRenderedPageBreak/>
        <w:t xml:space="preserve">Changed to mandatory, i.e. </w:t>
      </w:r>
      <w:r w:rsidR="009B2C55">
        <w:rPr>
          <w:rFonts w:asciiTheme="minorHAnsi" w:hAnsiTheme="minorHAnsi" w:cstheme="minorHAnsi"/>
          <w:sz w:val="22"/>
          <w:szCs w:val="22"/>
          <w:lang w:val="en-IE"/>
        </w:rPr>
        <w:t>they must be filled in</w:t>
      </w:r>
      <w:r w:rsidRPr="0059550D">
        <w:rPr>
          <w:rFonts w:asciiTheme="minorHAnsi" w:hAnsiTheme="minorHAnsi" w:cstheme="minorHAnsi"/>
          <w:sz w:val="22"/>
          <w:szCs w:val="22"/>
          <w:lang w:val="en-IE"/>
        </w:rPr>
        <w:t>.</w:t>
      </w:r>
    </w:p>
    <w:p w14:paraId="30EDB20D" w14:textId="01CE4F6B" w:rsidR="007954E8" w:rsidRPr="0059550D" w:rsidRDefault="007954E8" w:rsidP="00DC6C47">
      <w:pPr>
        <w:pStyle w:val="Text2"/>
        <w:numPr>
          <w:ilvl w:val="0"/>
          <w:numId w:val="18"/>
        </w:numPr>
        <w:spacing w:after="0"/>
        <w:rPr>
          <w:rFonts w:asciiTheme="minorHAnsi" w:hAnsiTheme="minorHAnsi" w:cstheme="minorHAnsi"/>
          <w:sz w:val="22"/>
          <w:szCs w:val="22"/>
          <w:lang w:val="en-IE"/>
        </w:rPr>
      </w:pPr>
      <w:r w:rsidRPr="0059550D">
        <w:rPr>
          <w:rFonts w:asciiTheme="minorHAnsi" w:hAnsiTheme="minorHAnsi" w:cstheme="minorHAnsi"/>
          <w:sz w:val="22"/>
          <w:szCs w:val="22"/>
          <w:lang w:val="en-IE"/>
        </w:rPr>
        <w:t xml:space="preserve">Left as optional, </w:t>
      </w:r>
      <w:r w:rsidR="00595C02" w:rsidRPr="0059550D">
        <w:rPr>
          <w:rFonts w:asciiTheme="minorHAnsi" w:hAnsiTheme="minorHAnsi" w:cstheme="minorHAnsi"/>
          <w:sz w:val="22"/>
          <w:szCs w:val="22"/>
          <w:lang w:val="en-IE"/>
        </w:rPr>
        <w:t xml:space="preserve">i.e. they are displayed to </w:t>
      </w:r>
      <w:r w:rsidR="00392FFE">
        <w:rPr>
          <w:rFonts w:asciiTheme="minorHAnsi" w:hAnsiTheme="minorHAnsi" w:cstheme="minorHAnsi"/>
          <w:sz w:val="22"/>
          <w:szCs w:val="22"/>
          <w:lang w:val="en-IE"/>
        </w:rPr>
        <w:t>buyers</w:t>
      </w:r>
      <w:r w:rsidR="00595C02" w:rsidRPr="0059550D">
        <w:rPr>
          <w:rFonts w:asciiTheme="minorHAnsi" w:hAnsiTheme="minorHAnsi" w:cstheme="minorHAnsi"/>
          <w:sz w:val="22"/>
          <w:szCs w:val="22"/>
          <w:lang w:val="en-IE"/>
        </w:rPr>
        <w:t xml:space="preserve"> who decide whether to fill </w:t>
      </w:r>
      <w:r w:rsidR="009B2C55">
        <w:rPr>
          <w:rFonts w:asciiTheme="minorHAnsi" w:hAnsiTheme="minorHAnsi" w:cstheme="minorHAnsi"/>
          <w:sz w:val="22"/>
          <w:szCs w:val="22"/>
          <w:lang w:val="en-IE"/>
        </w:rPr>
        <w:t xml:space="preserve">them </w:t>
      </w:r>
      <w:r w:rsidR="00595C02" w:rsidRPr="0059550D">
        <w:rPr>
          <w:rFonts w:asciiTheme="minorHAnsi" w:hAnsiTheme="minorHAnsi" w:cstheme="minorHAnsi"/>
          <w:sz w:val="22"/>
          <w:szCs w:val="22"/>
          <w:lang w:val="en-IE"/>
        </w:rPr>
        <w:t xml:space="preserve">in. </w:t>
      </w:r>
    </w:p>
    <w:p w14:paraId="3757B992" w14:textId="6D8FCD3A" w:rsidR="00495407" w:rsidRPr="0059550D" w:rsidRDefault="00595C02" w:rsidP="00DC6C47">
      <w:pPr>
        <w:pStyle w:val="Text2"/>
        <w:numPr>
          <w:ilvl w:val="0"/>
          <w:numId w:val="18"/>
        </w:numPr>
        <w:spacing w:after="0"/>
        <w:rPr>
          <w:rFonts w:asciiTheme="minorHAnsi" w:hAnsiTheme="minorHAnsi" w:cstheme="minorHAnsi"/>
          <w:sz w:val="22"/>
          <w:szCs w:val="22"/>
          <w:lang w:val="en-IE"/>
        </w:rPr>
      </w:pPr>
      <w:r w:rsidRPr="0059550D">
        <w:rPr>
          <w:rFonts w:asciiTheme="minorHAnsi" w:hAnsiTheme="minorHAnsi" w:cstheme="minorHAnsi"/>
          <w:sz w:val="22"/>
          <w:szCs w:val="22"/>
          <w:lang w:val="en-IE"/>
        </w:rPr>
        <w:t xml:space="preserve">Unused, i.e. </w:t>
      </w:r>
      <w:r w:rsidR="005A7772">
        <w:rPr>
          <w:rFonts w:asciiTheme="minorHAnsi" w:hAnsiTheme="minorHAnsi" w:cstheme="minorHAnsi"/>
          <w:sz w:val="22"/>
          <w:szCs w:val="22"/>
          <w:lang w:val="en-IE"/>
        </w:rPr>
        <w:t xml:space="preserve">buyers </w:t>
      </w:r>
      <w:r w:rsidRPr="0059550D">
        <w:rPr>
          <w:rFonts w:asciiTheme="minorHAnsi" w:hAnsiTheme="minorHAnsi" w:cstheme="minorHAnsi"/>
          <w:sz w:val="22"/>
          <w:szCs w:val="22"/>
          <w:lang w:val="en-IE"/>
        </w:rPr>
        <w:t xml:space="preserve">do not even see them and they cannot fill </w:t>
      </w:r>
      <w:r w:rsidR="009B2C55">
        <w:rPr>
          <w:rFonts w:asciiTheme="minorHAnsi" w:hAnsiTheme="minorHAnsi" w:cstheme="minorHAnsi"/>
          <w:sz w:val="22"/>
          <w:szCs w:val="22"/>
          <w:lang w:val="en-IE"/>
        </w:rPr>
        <w:t>them in</w:t>
      </w:r>
      <w:r w:rsidRPr="0059550D">
        <w:rPr>
          <w:rFonts w:asciiTheme="minorHAnsi" w:hAnsiTheme="minorHAnsi" w:cstheme="minorHAnsi"/>
          <w:sz w:val="22"/>
          <w:szCs w:val="22"/>
          <w:lang w:val="en-IE"/>
        </w:rPr>
        <w:t xml:space="preserve">. </w:t>
      </w:r>
    </w:p>
    <w:p w14:paraId="6C254304" w14:textId="77777777" w:rsidR="00495407" w:rsidRPr="0059550D" w:rsidRDefault="00495407" w:rsidP="00495407">
      <w:pPr>
        <w:pStyle w:val="Text2"/>
        <w:spacing w:after="0"/>
        <w:ind w:left="0"/>
        <w:rPr>
          <w:rFonts w:asciiTheme="minorHAnsi" w:hAnsiTheme="minorHAnsi" w:cstheme="minorHAnsi"/>
          <w:sz w:val="22"/>
          <w:szCs w:val="22"/>
          <w:lang w:val="en-IE"/>
        </w:rPr>
      </w:pPr>
    </w:p>
    <w:p w14:paraId="47CF15B3" w14:textId="54D9732E" w:rsidR="00495407" w:rsidRPr="0059550D" w:rsidRDefault="00345914" w:rsidP="00C41A02">
      <w:pPr>
        <w:pStyle w:val="Text1"/>
        <w:ind w:left="0"/>
        <w:rPr>
          <w:rFonts w:asciiTheme="minorHAnsi" w:hAnsiTheme="minorHAnsi" w:cstheme="minorHAnsi"/>
          <w:sz w:val="22"/>
          <w:szCs w:val="22"/>
          <w:lang w:val="en-IE"/>
        </w:rPr>
      </w:pPr>
      <w:r w:rsidRPr="0059550D">
        <w:rPr>
          <w:rFonts w:asciiTheme="minorHAnsi" w:hAnsiTheme="minorHAnsi" w:cstheme="minorHAnsi"/>
          <w:sz w:val="22"/>
          <w:szCs w:val="22"/>
          <w:lang w:val="en-IE"/>
        </w:rPr>
        <w:t>Tailoring optional fields is very important, because</w:t>
      </w:r>
      <w:r w:rsidR="00065DBD">
        <w:rPr>
          <w:rFonts w:asciiTheme="minorHAnsi" w:hAnsiTheme="minorHAnsi" w:cstheme="minorHAnsi"/>
          <w:sz w:val="22"/>
          <w:szCs w:val="22"/>
          <w:lang w:val="en-IE"/>
        </w:rPr>
        <w:t>,</w:t>
      </w:r>
      <w:r w:rsidRPr="0059550D">
        <w:rPr>
          <w:rFonts w:asciiTheme="minorHAnsi" w:hAnsiTheme="minorHAnsi" w:cstheme="minorHAnsi"/>
          <w:sz w:val="22"/>
          <w:szCs w:val="22"/>
          <w:lang w:val="en-IE"/>
        </w:rPr>
        <w:t xml:space="preserve"> often, a </w:t>
      </w:r>
      <w:r w:rsidR="00A84357">
        <w:rPr>
          <w:rFonts w:asciiTheme="minorHAnsi" w:hAnsiTheme="minorHAnsi" w:cstheme="minorHAnsi"/>
          <w:sz w:val="22"/>
          <w:szCs w:val="22"/>
          <w:lang w:val="en-IE"/>
        </w:rPr>
        <w:t xml:space="preserve">the </w:t>
      </w:r>
      <w:r w:rsidR="00065DBD">
        <w:rPr>
          <w:rFonts w:asciiTheme="minorHAnsi" w:hAnsiTheme="minorHAnsi" w:cstheme="minorHAnsi"/>
          <w:sz w:val="22"/>
          <w:szCs w:val="22"/>
          <w:lang w:val="en-IE"/>
        </w:rPr>
        <w:t>optional status</w:t>
      </w:r>
      <w:r w:rsidR="00A84357">
        <w:rPr>
          <w:rFonts w:asciiTheme="minorHAnsi" w:hAnsiTheme="minorHAnsi" w:cstheme="minorHAnsi"/>
          <w:sz w:val="22"/>
          <w:szCs w:val="22"/>
          <w:lang w:val="en-IE"/>
        </w:rPr>
        <w:t xml:space="preserve"> of a field</w:t>
      </w:r>
      <w:r w:rsidR="00065DBD">
        <w:rPr>
          <w:rFonts w:asciiTheme="minorHAnsi" w:hAnsiTheme="minorHAnsi" w:cstheme="minorHAnsi"/>
          <w:sz w:val="22"/>
          <w:szCs w:val="22"/>
          <w:lang w:val="en-IE"/>
        </w:rPr>
        <w:t xml:space="preserve"> was not intended to suggest that “buyers should decide”, but rather “this is best tailored at national level”. </w:t>
      </w:r>
    </w:p>
    <w:p w14:paraId="3EF3C1E0" w14:textId="17EA2885" w:rsidR="00FD38A0" w:rsidRPr="0059550D" w:rsidRDefault="00637DAE" w:rsidP="00C533C9">
      <w:pPr>
        <w:pStyle w:val="Heading3"/>
        <w:rPr>
          <w:lang w:val="en-IE"/>
        </w:rPr>
      </w:pPr>
      <w:bookmarkStart w:id="49" w:name="_Ref19553030"/>
      <w:bookmarkStart w:id="50" w:name="_Toc25684087"/>
      <w:r w:rsidRPr="0059550D">
        <w:rPr>
          <w:lang w:val="en-IE"/>
        </w:rPr>
        <w:t>Making certain fields always or never</w:t>
      </w:r>
      <w:r w:rsidR="00C90AF7">
        <w:rPr>
          <w:lang w:val="en-IE"/>
        </w:rPr>
        <w:t xml:space="preserve"> published</w:t>
      </w:r>
      <w:r w:rsidR="000309E3" w:rsidRPr="0059550D">
        <w:rPr>
          <w:lang w:val="en-IE"/>
        </w:rPr>
        <w:t>,</w:t>
      </w:r>
      <w:r w:rsidRPr="0059550D">
        <w:rPr>
          <w:lang w:val="en-IE"/>
        </w:rPr>
        <w:t xml:space="preserve"> not </w:t>
      </w:r>
      <w:r w:rsidR="00C533C9" w:rsidRPr="0059550D">
        <w:rPr>
          <w:lang w:val="en-IE"/>
        </w:rPr>
        <w:t xml:space="preserve">case by </w:t>
      </w:r>
      <w:r w:rsidRPr="0059550D">
        <w:rPr>
          <w:lang w:val="en-IE"/>
        </w:rPr>
        <w:t>case</w:t>
      </w:r>
      <w:bookmarkEnd w:id="49"/>
      <w:bookmarkEnd w:id="50"/>
    </w:p>
    <w:p w14:paraId="7C037F8C" w14:textId="5BFF31E7" w:rsidR="00F174EA" w:rsidRPr="0059550D" w:rsidRDefault="00F174EA" w:rsidP="00897229">
      <w:pPr>
        <w:pStyle w:val="NoSpacing"/>
        <w:rPr>
          <w:lang w:val="en-IE"/>
        </w:rPr>
      </w:pPr>
      <w:r w:rsidRPr="0059550D">
        <w:rPr>
          <w:lang w:val="en-IE"/>
        </w:rPr>
        <w:t xml:space="preserve">As discussed </w:t>
      </w:r>
      <w:r w:rsidR="00BA740A" w:rsidRPr="0059550D">
        <w:rPr>
          <w:lang w:val="en-IE"/>
        </w:rPr>
        <w:t>above</w:t>
      </w:r>
      <w:r w:rsidRPr="0059550D">
        <w:rPr>
          <w:lang w:val="en-IE"/>
        </w:rPr>
        <w:t xml:space="preserve">, fields in eForms can be mandatory or optional. This is a separate question from </w:t>
      </w:r>
      <w:r w:rsidR="00BA740A" w:rsidRPr="0059550D">
        <w:rPr>
          <w:lang w:val="en-IE"/>
        </w:rPr>
        <w:t xml:space="preserve">whether </w:t>
      </w:r>
      <w:r w:rsidRPr="0059550D">
        <w:rPr>
          <w:lang w:val="en-IE"/>
        </w:rPr>
        <w:t xml:space="preserve">the fields </w:t>
      </w:r>
      <w:r w:rsidR="00BA740A" w:rsidRPr="0059550D">
        <w:rPr>
          <w:lang w:val="en-IE"/>
        </w:rPr>
        <w:t xml:space="preserve">are </w:t>
      </w:r>
      <w:r w:rsidRPr="0059550D">
        <w:rPr>
          <w:lang w:val="en-IE"/>
        </w:rPr>
        <w:t xml:space="preserve">published or unpublished. Most information is published, i.e. it is publicly available on TED and other websites. However, some information can also be unpublished. In such a case, it is </w:t>
      </w:r>
      <w:r w:rsidR="00BA740A" w:rsidRPr="0059550D">
        <w:rPr>
          <w:lang w:val="en-IE"/>
        </w:rPr>
        <w:t xml:space="preserve">included in a notice </w:t>
      </w:r>
      <w:r w:rsidRPr="00BF480C">
        <w:rPr>
          <w:lang w:val="en-IE"/>
        </w:rPr>
        <w:t xml:space="preserve">and visible to </w:t>
      </w:r>
      <w:r w:rsidR="00A84357">
        <w:rPr>
          <w:lang w:val="en-IE"/>
        </w:rPr>
        <w:t>authorised parties</w:t>
      </w:r>
      <w:r w:rsidR="00A84357" w:rsidRPr="0059550D">
        <w:rPr>
          <w:lang w:val="en-IE"/>
        </w:rPr>
        <w:t xml:space="preserve"> </w:t>
      </w:r>
      <w:r w:rsidR="000460AD" w:rsidRPr="0059550D">
        <w:rPr>
          <w:lang w:val="en-IE"/>
        </w:rPr>
        <w:t>, but no</w:t>
      </w:r>
      <w:r w:rsidR="00BA740A" w:rsidRPr="0059550D">
        <w:rPr>
          <w:lang w:val="en-IE"/>
        </w:rPr>
        <w:t>t to the general</w:t>
      </w:r>
      <w:r w:rsidR="000460AD" w:rsidRPr="0059550D">
        <w:rPr>
          <w:lang w:val="en-IE"/>
        </w:rPr>
        <w:t xml:space="preserve"> </w:t>
      </w:r>
      <w:r w:rsidR="00BA740A" w:rsidRPr="0059550D">
        <w:rPr>
          <w:lang w:val="en-IE"/>
        </w:rPr>
        <w:t>public</w:t>
      </w:r>
      <w:r w:rsidR="000460AD" w:rsidRPr="0059550D">
        <w:rPr>
          <w:lang w:val="en-IE"/>
        </w:rPr>
        <w:t>.</w:t>
      </w:r>
    </w:p>
    <w:p w14:paraId="17AA1499" w14:textId="5E6C739B" w:rsidR="00BD51EF" w:rsidRPr="0059550D" w:rsidRDefault="00BD51EF" w:rsidP="00897229">
      <w:pPr>
        <w:pStyle w:val="NoSpacing"/>
        <w:rPr>
          <w:lang w:val="en-IE"/>
        </w:rPr>
      </w:pPr>
    </w:p>
    <w:p w14:paraId="20269725" w14:textId="63D773CE" w:rsidR="005E549A" w:rsidRDefault="00BD51EF" w:rsidP="00CD51F0">
      <w:pPr>
        <w:pStyle w:val="NoSpacing"/>
        <w:rPr>
          <w:lang w:val="en-IE"/>
        </w:rPr>
      </w:pPr>
      <w:r w:rsidRPr="0059550D">
        <w:rPr>
          <w:lang w:val="en-IE"/>
        </w:rPr>
        <w:t>Only certain mandatory fields can be unpublished</w:t>
      </w:r>
      <w:r w:rsidRPr="0059550D">
        <w:rPr>
          <w:rStyle w:val="FootnoteReference"/>
          <w:lang w:val="en-IE"/>
        </w:rPr>
        <w:footnoteReference w:id="37"/>
      </w:r>
      <w:r w:rsidRPr="0059550D">
        <w:rPr>
          <w:lang w:val="en-IE"/>
        </w:rPr>
        <w:t xml:space="preserve"> and this should be justified and time-limited.  </w:t>
      </w:r>
      <w:r w:rsidR="007571C5" w:rsidRPr="0059550D">
        <w:rPr>
          <w:lang w:val="en-IE"/>
        </w:rPr>
        <w:t xml:space="preserve">Optional fields can be unpublished without any restrictions. </w:t>
      </w:r>
      <w:r w:rsidR="00AB0987" w:rsidRPr="0059550D">
        <w:rPr>
          <w:lang w:val="en-IE"/>
        </w:rPr>
        <w:t xml:space="preserve">While in certain countries there seems to be hesitance </w:t>
      </w:r>
      <w:r w:rsidR="004D63B1">
        <w:rPr>
          <w:lang w:val="en-IE"/>
        </w:rPr>
        <w:t xml:space="preserve">as to whether </w:t>
      </w:r>
      <w:r w:rsidR="00AB0987" w:rsidRPr="0059550D">
        <w:rPr>
          <w:lang w:val="en-IE"/>
        </w:rPr>
        <w:t>to publish information about public contracts, esp</w:t>
      </w:r>
      <w:r w:rsidR="004D63B1">
        <w:rPr>
          <w:lang w:val="en-IE"/>
        </w:rPr>
        <w:t>ecially</w:t>
      </w:r>
      <w:r w:rsidR="00AB0987" w:rsidRPr="0059550D">
        <w:rPr>
          <w:lang w:val="en-IE"/>
        </w:rPr>
        <w:t xml:space="preserve"> their value, there is no evidence of such information being harmful. In particular, two </w:t>
      </w:r>
      <w:r w:rsidR="005E549A" w:rsidRPr="0059550D">
        <w:rPr>
          <w:lang w:val="en-IE"/>
        </w:rPr>
        <w:t>large-scale</w:t>
      </w:r>
      <w:r w:rsidR="00AB0987" w:rsidRPr="0059550D">
        <w:rPr>
          <w:lang w:val="en-IE"/>
        </w:rPr>
        <w:t xml:space="preserve"> independent reviews – one conducted by the Center For Global Development</w:t>
      </w:r>
      <w:r w:rsidR="00AB0987" w:rsidRPr="0059550D">
        <w:rPr>
          <w:rStyle w:val="FootnoteReference"/>
          <w:lang w:val="en-IE"/>
        </w:rPr>
        <w:footnoteReference w:id="38"/>
      </w:r>
      <w:r w:rsidR="00AB0987" w:rsidRPr="0059550D">
        <w:rPr>
          <w:lang w:val="en-IE"/>
        </w:rPr>
        <w:t xml:space="preserve"> and one by the Open Contracting Partnership</w:t>
      </w:r>
      <w:r w:rsidR="00AB0987" w:rsidRPr="0059550D">
        <w:rPr>
          <w:rStyle w:val="FootnoteReference"/>
          <w:lang w:val="en-IE"/>
        </w:rPr>
        <w:footnoteReference w:id="39"/>
      </w:r>
      <w:r w:rsidR="00CD51F0" w:rsidRPr="0059550D">
        <w:rPr>
          <w:lang w:val="en-IE"/>
        </w:rPr>
        <w:t xml:space="preserve"> –</w:t>
      </w:r>
      <w:r w:rsidR="00AB0987" w:rsidRPr="0059550D">
        <w:rPr>
          <w:lang w:val="en-IE"/>
        </w:rPr>
        <w:t xml:space="preserve"> have </w:t>
      </w:r>
      <w:r w:rsidR="005E549A">
        <w:rPr>
          <w:lang w:val="en-IE"/>
        </w:rPr>
        <w:t>failed to identify</w:t>
      </w:r>
      <w:r w:rsidR="00AB0987" w:rsidRPr="0059550D">
        <w:rPr>
          <w:lang w:val="en-IE"/>
        </w:rPr>
        <w:t xml:space="preserve"> any examples or evidence supporting the most popular theories on </w:t>
      </w:r>
      <w:r w:rsidR="005E549A">
        <w:rPr>
          <w:lang w:val="en-IE"/>
        </w:rPr>
        <w:t xml:space="preserve">the negative effects of publishing information </w:t>
      </w:r>
      <w:r w:rsidR="00AB0987" w:rsidRPr="0059550D">
        <w:rPr>
          <w:lang w:val="en-IE"/>
        </w:rPr>
        <w:t xml:space="preserve">(e.g. supporting collusion, hindering innovation). </w:t>
      </w:r>
    </w:p>
    <w:p w14:paraId="66F3D15D" w14:textId="77777777" w:rsidR="005E549A" w:rsidRDefault="005E549A" w:rsidP="00CD51F0">
      <w:pPr>
        <w:pStyle w:val="NoSpacing"/>
        <w:rPr>
          <w:lang w:val="en-IE"/>
        </w:rPr>
      </w:pPr>
    </w:p>
    <w:p w14:paraId="1C0704C0" w14:textId="5C14EC94" w:rsidR="004A5E69" w:rsidRPr="0059550D" w:rsidRDefault="00CD51F0" w:rsidP="00CD51F0">
      <w:pPr>
        <w:pStyle w:val="NoSpacing"/>
        <w:rPr>
          <w:lang w:val="en-IE"/>
        </w:rPr>
      </w:pPr>
      <w:r w:rsidRPr="0059550D">
        <w:rPr>
          <w:lang w:val="en-IE"/>
        </w:rPr>
        <w:t xml:space="preserve">If implementers want to act in line with this evidence, they may tailor eForms by forbidding the use of the </w:t>
      </w:r>
      <w:r w:rsidR="004D63B1">
        <w:rPr>
          <w:lang w:val="en-IE"/>
        </w:rPr>
        <w:t>non-</w:t>
      </w:r>
      <w:r w:rsidRPr="0059550D">
        <w:rPr>
          <w:lang w:val="en-IE"/>
        </w:rPr>
        <w:t>public</w:t>
      </w:r>
      <w:r w:rsidR="005E549A">
        <w:rPr>
          <w:lang w:val="en-IE"/>
        </w:rPr>
        <w:t>ation feature</w:t>
      </w:r>
      <w:r w:rsidR="004D63B1">
        <w:rPr>
          <w:rStyle w:val="FootnoteReference"/>
          <w:lang w:val="en-IE"/>
        </w:rPr>
        <w:footnoteReference w:id="40"/>
      </w:r>
      <w:r w:rsidRPr="0059550D">
        <w:rPr>
          <w:lang w:val="en-IE"/>
        </w:rPr>
        <w:t xml:space="preserve">. On the other hand, there may also be cases where implementers may wish to collect certain data, but never publish it – e.g. the estimated value. </w:t>
      </w:r>
    </w:p>
    <w:p w14:paraId="09C339C6" w14:textId="0D213EB3" w:rsidR="000C27B5" w:rsidRPr="0059550D" w:rsidRDefault="000C27B5" w:rsidP="000C27B5">
      <w:pPr>
        <w:pStyle w:val="Heading3"/>
        <w:rPr>
          <w:lang w:val="en-IE"/>
        </w:rPr>
      </w:pPr>
      <w:bookmarkStart w:id="51" w:name="_Ref19526875"/>
      <w:bookmarkStart w:id="52" w:name="_Toc25684088"/>
      <w:r w:rsidRPr="0059550D">
        <w:rPr>
          <w:lang w:val="en-IE"/>
        </w:rPr>
        <w:t>Making certain fields always identical for the whole procedure, not differentiable per lot</w:t>
      </w:r>
      <w:bookmarkEnd w:id="51"/>
      <w:bookmarkEnd w:id="52"/>
    </w:p>
    <w:p w14:paraId="218C0665" w14:textId="77777777" w:rsidR="000C27B5" w:rsidRPr="0059550D" w:rsidRDefault="000C27B5" w:rsidP="000C27B5">
      <w:pPr>
        <w:rPr>
          <w:lang w:val="en-IE"/>
        </w:rPr>
      </w:pPr>
    </w:p>
    <w:p w14:paraId="13DE23A4" w14:textId="5905B2EA" w:rsidR="000C27B5" w:rsidRPr="0059550D" w:rsidRDefault="00A84357" w:rsidP="005B1441">
      <w:pPr>
        <w:jc w:val="both"/>
        <w:rPr>
          <w:lang w:val="en-IE"/>
        </w:rPr>
      </w:pPr>
      <w:r>
        <w:rPr>
          <w:lang w:val="en-IE"/>
        </w:rPr>
        <w:t>M</w:t>
      </w:r>
      <w:r w:rsidR="000C27B5" w:rsidRPr="0059550D">
        <w:rPr>
          <w:lang w:val="en-IE"/>
        </w:rPr>
        <w:t>ost fields can be specified per lot, incl</w:t>
      </w:r>
      <w:r w:rsidR="008953E8">
        <w:rPr>
          <w:lang w:val="en-IE"/>
        </w:rPr>
        <w:t>uding</w:t>
      </w:r>
      <w:r w:rsidR="000C27B5" w:rsidRPr="0059550D">
        <w:rPr>
          <w:lang w:val="en-IE"/>
        </w:rPr>
        <w:t xml:space="preserve"> techniques (e.g. framework agreements) and tender submission deadlines. While possible, some implementers may wish to restrict this flexibility so as to maintain consistence with established practice and existing law, or to reduce possible complexity. </w:t>
      </w:r>
    </w:p>
    <w:p w14:paraId="4C0A00FA" w14:textId="77777777" w:rsidR="000C27B5" w:rsidRPr="0059550D" w:rsidRDefault="000C27B5" w:rsidP="000C27B5">
      <w:pPr>
        <w:rPr>
          <w:lang w:val="en-IE"/>
        </w:rPr>
      </w:pPr>
    </w:p>
    <w:p w14:paraId="36D44BB7" w14:textId="762A29F3" w:rsidR="000C27B5" w:rsidRPr="0059550D" w:rsidRDefault="000C27B5" w:rsidP="000C27B5">
      <w:pPr>
        <w:pStyle w:val="NoSpacing"/>
        <w:rPr>
          <w:lang w:val="en-IE"/>
        </w:rPr>
      </w:pPr>
      <w:r w:rsidRPr="0059550D">
        <w:rPr>
          <w:lang w:val="en-IE"/>
        </w:rPr>
        <w:t>eForms are also an opportunity to give buyers more flexibility than they have under existing practice</w:t>
      </w:r>
      <w:r w:rsidRPr="0059550D">
        <w:rPr>
          <w:rStyle w:val="FootnoteReference"/>
          <w:lang w:val="en-IE"/>
        </w:rPr>
        <w:footnoteReference w:id="41"/>
      </w:r>
      <w:r w:rsidRPr="0059550D">
        <w:rPr>
          <w:lang w:val="en-IE"/>
        </w:rPr>
        <w:t xml:space="preserve">. For example, contrary to previous standard forms, the </w:t>
      </w:r>
      <w:r w:rsidR="007F0E59">
        <w:rPr>
          <w:lang w:val="en-IE"/>
        </w:rPr>
        <w:t>‘</w:t>
      </w:r>
      <w:r w:rsidRPr="0059550D">
        <w:rPr>
          <w:lang w:val="en-IE"/>
        </w:rPr>
        <w:t>Deadline Receipt Tenders</w:t>
      </w:r>
      <w:r w:rsidR="007F0E59">
        <w:rPr>
          <w:lang w:val="en-IE"/>
        </w:rPr>
        <w:t>’</w:t>
      </w:r>
      <w:r w:rsidRPr="0059550D">
        <w:rPr>
          <w:lang w:val="en-IE"/>
        </w:rPr>
        <w:t xml:space="preserve"> </w:t>
      </w:r>
      <w:r w:rsidR="007F0E59">
        <w:rPr>
          <w:lang w:val="en-IE"/>
        </w:rPr>
        <w:t>field</w:t>
      </w:r>
      <w:r w:rsidR="007F0E59">
        <w:rPr>
          <w:rStyle w:val="FootnoteReference"/>
          <w:lang w:val="en-IE"/>
        </w:rPr>
        <w:footnoteReference w:id="42"/>
      </w:r>
      <w:r w:rsidR="007F0E59">
        <w:rPr>
          <w:lang w:val="en-IE"/>
        </w:rPr>
        <w:t xml:space="preserve"> </w:t>
      </w:r>
      <w:r w:rsidRPr="0059550D">
        <w:rPr>
          <w:lang w:val="en-IE"/>
        </w:rPr>
        <w:t>can be different per lot. The reason is that there is no inherent reason why bids for all lots should be submitted at the same time. On the contrary, it is good practice to give companies as much time as possible for the preparation of bids</w:t>
      </w:r>
      <w:r w:rsidR="007F0E59">
        <w:rPr>
          <w:lang w:val="en-IE"/>
        </w:rPr>
        <w:t>.</w:t>
      </w:r>
      <w:r w:rsidRPr="0059550D">
        <w:rPr>
          <w:lang w:val="en-IE"/>
        </w:rPr>
        <w:t xml:space="preserve"> </w:t>
      </w:r>
      <w:r w:rsidR="007F0E59">
        <w:rPr>
          <w:lang w:val="en-IE"/>
        </w:rPr>
        <w:t>D</w:t>
      </w:r>
      <w:r w:rsidRPr="0059550D">
        <w:rPr>
          <w:lang w:val="en-IE"/>
        </w:rPr>
        <w:t>ifferent deadlines per lot can lead to that goal. First, these deadlines can reflect technical limitations, as illustrated by a simpl</w:t>
      </w:r>
      <w:r w:rsidR="007F0E59">
        <w:rPr>
          <w:lang w:val="en-IE"/>
        </w:rPr>
        <w:t>e</w:t>
      </w:r>
      <w:r w:rsidRPr="0059550D">
        <w:rPr>
          <w:lang w:val="en-IE"/>
        </w:rPr>
        <w:t xml:space="preserve"> example: "the contractor for the roof needs to be known only two months after the contractor for the walls"). Second, they can reflect procedural limitations, </w:t>
      </w:r>
      <w:r w:rsidR="007F0E59">
        <w:rPr>
          <w:lang w:val="en-IE"/>
        </w:rPr>
        <w:t>for</w:t>
      </w:r>
      <w:r w:rsidRPr="0059550D">
        <w:rPr>
          <w:lang w:val="en-IE"/>
        </w:rPr>
        <w:t xml:space="preserve"> example: "since it will take two weeks to evaluate lot 1, tenders for lot 2 can be submitted two weeks later").</w:t>
      </w:r>
    </w:p>
    <w:p w14:paraId="039B1952" w14:textId="36D91B37" w:rsidR="007C2C90" w:rsidRPr="0059550D" w:rsidRDefault="0075202C" w:rsidP="002A3ED6">
      <w:pPr>
        <w:pStyle w:val="Heading2"/>
        <w:rPr>
          <w:lang w:val="en-IE"/>
        </w:rPr>
      </w:pPr>
      <w:bookmarkStart w:id="53" w:name="_Ref19625627"/>
      <w:bookmarkStart w:id="54" w:name="_Toc25684089"/>
      <w:r w:rsidRPr="0059550D">
        <w:rPr>
          <w:lang w:val="en-IE"/>
        </w:rPr>
        <w:lastRenderedPageBreak/>
        <w:t>Tailoring</w:t>
      </w:r>
      <w:r w:rsidR="007C2C90" w:rsidRPr="0059550D">
        <w:rPr>
          <w:lang w:val="en-IE"/>
        </w:rPr>
        <w:t xml:space="preserve"> codelists</w:t>
      </w:r>
      <w:bookmarkEnd w:id="53"/>
      <w:bookmarkEnd w:id="54"/>
    </w:p>
    <w:p w14:paraId="0032CFFC" w14:textId="73D3CB90" w:rsidR="00EC6C57" w:rsidRPr="003C15AE" w:rsidRDefault="00F3712A" w:rsidP="000A5DC5">
      <w:pPr>
        <w:pStyle w:val="CommentText"/>
        <w:rPr>
          <w:sz w:val="22"/>
          <w:szCs w:val="22"/>
        </w:rPr>
      </w:pPr>
      <w:r w:rsidRPr="003C15AE">
        <w:rPr>
          <w:sz w:val="22"/>
          <w:szCs w:val="22"/>
          <w:lang w:val="en-IE"/>
        </w:rPr>
        <w:t xml:space="preserve">eForms </w:t>
      </w:r>
      <w:r w:rsidR="00810993" w:rsidRPr="003C15AE">
        <w:rPr>
          <w:sz w:val="22"/>
          <w:szCs w:val="22"/>
          <w:lang w:val="en-IE"/>
        </w:rPr>
        <w:t xml:space="preserve">fields with </w:t>
      </w:r>
      <w:r w:rsidRPr="003C15AE">
        <w:rPr>
          <w:sz w:val="22"/>
          <w:szCs w:val="22"/>
          <w:lang w:val="en-IE"/>
        </w:rPr>
        <w:t xml:space="preserve">data type “code” </w:t>
      </w:r>
      <w:r w:rsidR="00810993" w:rsidRPr="003C15AE">
        <w:rPr>
          <w:sz w:val="22"/>
          <w:szCs w:val="22"/>
          <w:lang w:val="en-IE"/>
        </w:rPr>
        <w:t xml:space="preserve">also </w:t>
      </w:r>
      <w:r w:rsidRPr="003C15AE">
        <w:rPr>
          <w:sz w:val="22"/>
          <w:szCs w:val="22"/>
          <w:lang w:val="en-IE"/>
        </w:rPr>
        <w:t>have corresponding codelists.</w:t>
      </w:r>
      <w:r w:rsidR="00C224F1" w:rsidRPr="003C15AE">
        <w:rPr>
          <w:sz w:val="22"/>
          <w:szCs w:val="22"/>
          <w:lang w:val="en-IE"/>
        </w:rPr>
        <w:t xml:space="preserve"> These are published by the Publications Office of the EU at</w:t>
      </w:r>
      <w:r w:rsidR="00EC6C57" w:rsidRPr="003C15AE">
        <w:rPr>
          <w:sz w:val="22"/>
          <w:szCs w:val="22"/>
          <w:lang w:val="en-IE"/>
        </w:rPr>
        <w:t xml:space="preserve"> </w:t>
      </w:r>
      <w:hyperlink r:id="rId21" w:history="1">
        <w:r w:rsidR="00EC6C57" w:rsidRPr="003C15AE">
          <w:rPr>
            <w:rStyle w:val="Hyperlink"/>
            <w:sz w:val="22"/>
            <w:szCs w:val="22"/>
          </w:rPr>
          <w:t>https://op.europa.eu/en/web/eu-vocabularies/e-procurement/tables</w:t>
        </w:r>
      </w:hyperlink>
      <w:r w:rsidR="00C224F1" w:rsidRPr="003C15AE">
        <w:rPr>
          <w:sz w:val="22"/>
          <w:szCs w:val="22"/>
          <w:lang w:val="en-IE"/>
        </w:rPr>
        <w:t>.</w:t>
      </w:r>
      <w:r w:rsidRPr="003C15AE">
        <w:rPr>
          <w:sz w:val="22"/>
          <w:szCs w:val="22"/>
          <w:lang w:val="en-IE"/>
        </w:rPr>
        <w:t xml:space="preserve"> </w:t>
      </w:r>
    </w:p>
    <w:p w14:paraId="102D92CD" w14:textId="5C199D64" w:rsidR="00AD2B68" w:rsidRPr="0059550D" w:rsidRDefault="00A84357" w:rsidP="00EC6C57">
      <w:pPr>
        <w:pStyle w:val="NoSpacing"/>
        <w:rPr>
          <w:lang w:val="en-IE"/>
        </w:rPr>
      </w:pPr>
      <w:r>
        <w:rPr>
          <w:lang w:val="en-IE"/>
        </w:rPr>
        <w:t xml:space="preserve">Not all </w:t>
      </w:r>
      <w:r w:rsidR="00EC6C57">
        <w:rPr>
          <w:lang w:val="en-IE"/>
        </w:rPr>
        <w:t xml:space="preserve">values of </w:t>
      </w:r>
      <w:r>
        <w:rPr>
          <w:lang w:val="en-IE"/>
        </w:rPr>
        <w:t>a given</w:t>
      </w:r>
      <w:r w:rsidR="00EC6C57">
        <w:rPr>
          <w:lang w:val="en-IE"/>
        </w:rPr>
        <w:t xml:space="preserve"> codelist</w:t>
      </w:r>
      <w:r>
        <w:rPr>
          <w:lang w:val="en-IE"/>
        </w:rPr>
        <w:t xml:space="preserve"> need to be used</w:t>
      </w:r>
      <w:r w:rsidR="00AD2B68" w:rsidRPr="0059550D">
        <w:rPr>
          <w:lang w:val="en-IE"/>
        </w:rPr>
        <w:t xml:space="preserve">. Codelists to be tailored are listed in </w:t>
      </w:r>
      <w:r w:rsidR="0014243A">
        <w:rPr>
          <w:lang w:val="en-IE"/>
        </w:rPr>
        <w:t>Checklist 2 – Tailoring codelists</w:t>
      </w:r>
      <w:r w:rsidR="00AD2B68" w:rsidRPr="0059550D">
        <w:rPr>
          <w:lang w:val="en-IE"/>
        </w:rPr>
        <w:t xml:space="preserve">, together with considerations for each field. </w:t>
      </w:r>
    </w:p>
    <w:p w14:paraId="3962333D" w14:textId="1CB84CD8" w:rsidR="00841340" w:rsidRPr="0059550D" w:rsidRDefault="00841340" w:rsidP="00841340">
      <w:pPr>
        <w:pStyle w:val="Heading2"/>
        <w:rPr>
          <w:lang w:val="en-IE"/>
        </w:rPr>
      </w:pPr>
      <w:bookmarkStart w:id="55" w:name="_Toc25684090"/>
      <w:r w:rsidRPr="0059550D">
        <w:rPr>
          <w:lang w:val="en-IE"/>
        </w:rPr>
        <w:t>Tailoring identifiers</w:t>
      </w:r>
      <w:bookmarkEnd w:id="55"/>
    </w:p>
    <w:p w14:paraId="404AAC24" w14:textId="09FF25E2" w:rsidR="008411A9" w:rsidRPr="0059550D" w:rsidRDefault="00B131E3" w:rsidP="00214E3A">
      <w:pPr>
        <w:pStyle w:val="NoSpacing"/>
        <w:rPr>
          <w:lang w:val="en-IE"/>
        </w:rPr>
      </w:pPr>
      <w:r w:rsidRPr="0059550D">
        <w:rPr>
          <w:lang w:val="en-IE"/>
        </w:rPr>
        <w:t xml:space="preserve">Identifiers used in </w:t>
      </w:r>
      <w:r w:rsidR="00810993" w:rsidRPr="0059550D">
        <w:rPr>
          <w:lang w:val="en-IE"/>
        </w:rPr>
        <w:t xml:space="preserve">eForms fields with data type “identifier” </w:t>
      </w:r>
      <w:r w:rsidRPr="0059550D">
        <w:rPr>
          <w:lang w:val="en-IE"/>
        </w:rPr>
        <w:t xml:space="preserve">must comply with certain technical rules. In almost all cases, these rules are </w:t>
      </w:r>
      <w:r w:rsidR="00446932">
        <w:rPr>
          <w:lang w:val="en-IE"/>
        </w:rPr>
        <w:t xml:space="preserve">of </w:t>
      </w:r>
      <w:r w:rsidRPr="0059550D">
        <w:rPr>
          <w:lang w:val="en-IE"/>
        </w:rPr>
        <w:t xml:space="preserve">a purely technical matter and do not have a policy dimension. However, </w:t>
      </w:r>
      <w:r w:rsidR="008411A9" w:rsidRPr="0059550D">
        <w:rPr>
          <w:lang w:val="en-IE"/>
        </w:rPr>
        <w:t xml:space="preserve">for </w:t>
      </w:r>
      <w:r w:rsidR="00240F39" w:rsidRPr="0059550D">
        <w:rPr>
          <w:lang w:val="en-IE"/>
        </w:rPr>
        <w:t>one mandatory identifier field and one optional identifier fiel</w:t>
      </w:r>
      <w:r w:rsidR="008411A9" w:rsidRPr="0059550D">
        <w:rPr>
          <w:lang w:val="en-IE"/>
        </w:rPr>
        <w:t xml:space="preserve">d the identifiers require certain policy decisions, discussed below. </w:t>
      </w:r>
    </w:p>
    <w:p w14:paraId="70270B12" w14:textId="02BB7FC9" w:rsidR="007C2C90" w:rsidRPr="0059550D" w:rsidRDefault="00BA4CB4" w:rsidP="007C2C90">
      <w:pPr>
        <w:pStyle w:val="Heading3"/>
        <w:rPr>
          <w:lang w:val="en-IE"/>
        </w:rPr>
      </w:pPr>
      <w:bookmarkStart w:id="56" w:name="_Toc25684091"/>
      <w:bookmarkStart w:id="57" w:name="_Ref20131998"/>
      <w:r w:rsidRPr="0059550D">
        <w:rPr>
          <w:lang w:val="en-IE"/>
        </w:rPr>
        <w:t>Organisation Identifier</w:t>
      </w:r>
      <w:bookmarkEnd w:id="56"/>
      <w:r w:rsidRPr="0059550D">
        <w:rPr>
          <w:lang w:val="en-IE"/>
        </w:rPr>
        <w:t xml:space="preserve"> </w:t>
      </w:r>
      <w:bookmarkEnd w:id="57"/>
    </w:p>
    <w:p w14:paraId="4F3D7180" w14:textId="01A12494" w:rsidR="00D43FFB" w:rsidRPr="0059550D" w:rsidRDefault="00D43FFB" w:rsidP="00214E3A">
      <w:pPr>
        <w:pStyle w:val="NoSpacing"/>
        <w:rPr>
          <w:lang w:val="en-IE"/>
        </w:rPr>
      </w:pPr>
    </w:p>
    <w:p w14:paraId="168FC7B0" w14:textId="1BC24D54" w:rsidR="007D2362" w:rsidRPr="0059550D" w:rsidRDefault="002841A1" w:rsidP="002841A1">
      <w:pPr>
        <w:pStyle w:val="NoSpacing"/>
        <w:rPr>
          <w:lang w:val="en-IE"/>
        </w:rPr>
      </w:pPr>
      <w:r w:rsidRPr="0059550D">
        <w:rPr>
          <w:lang w:val="en-IE"/>
        </w:rPr>
        <w:t>The organisation identifier</w:t>
      </w:r>
      <w:r w:rsidR="00446932">
        <w:rPr>
          <w:rStyle w:val="FootnoteReference"/>
          <w:lang w:val="en-IE"/>
        </w:rPr>
        <w:footnoteReference w:id="43"/>
      </w:r>
      <w:r w:rsidRPr="0059550D">
        <w:rPr>
          <w:lang w:val="en-IE"/>
        </w:rPr>
        <w:t xml:space="preserve"> is </w:t>
      </w:r>
      <w:r w:rsidR="00B6274A" w:rsidRPr="0059550D">
        <w:rPr>
          <w:lang w:val="en-IE"/>
        </w:rPr>
        <w:t xml:space="preserve">a </w:t>
      </w:r>
      <w:r w:rsidRPr="0059550D">
        <w:rPr>
          <w:lang w:val="en-IE"/>
        </w:rPr>
        <w:t>crucial field. It is necessary</w:t>
      </w:r>
      <w:r w:rsidR="00446932">
        <w:rPr>
          <w:lang w:val="en-IE"/>
        </w:rPr>
        <w:t xml:space="preserve"> in order</w:t>
      </w:r>
      <w:r w:rsidRPr="0059550D">
        <w:rPr>
          <w:lang w:val="en-IE"/>
        </w:rPr>
        <w:t xml:space="preserve"> to answer questions such as</w:t>
      </w:r>
      <w:r w:rsidR="007D2362" w:rsidRPr="0059550D">
        <w:rPr>
          <w:lang w:val="en-IE"/>
        </w:rPr>
        <w:t>:</w:t>
      </w:r>
    </w:p>
    <w:p w14:paraId="25BF60C8" w14:textId="6E8E8CD0" w:rsidR="007D2362" w:rsidRPr="0059550D" w:rsidRDefault="002841A1" w:rsidP="00DC6C47">
      <w:pPr>
        <w:pStyle w:val="NoSpacing"/>
        <w:numPr>
          <w:ilvl w:val="0"/>
          <w:numId w:val="28"/>
        </w:numPr>
        <w:rPr>
          <w:lang w:val="en-IE"/>
        </w:rPr>
      </w:pPr>
      <w:r w:rsidRPr="0059550D">
        <w:rPr>
          <w:lang w:val="en-IE"/>
        </w:rPr>
        <w:t>"</w:t>
      </w:r>
      <w:r w:rsidR="007D2362" w:rsidRPr="0059550D">
        <w:rPr>
          <w:lang w:val="en-IE"/>
        </w:rPr>
        <w:t>H</w:t>
      </w:r>
      <w:r w:rsidRPr="0059550D">
        <w:rPr>
          <w:lang w:val="en-IE"/>
        </w:rPr>
        <w:t>ow much money has a buyer spent in a year"</w:t>
      </w:r>
    </w:p>
    <w:p w14:paraId="00AF6971" w14:textId="21F012AD" w:rsidR="007D2362" w:rsidRPr="0059550D" w:rsidRDefault="002841A1" w:rsidP="00DC6C47">
      <w:pPr>
        <w:pStyle w:val="NoSpacing"/>
        <w:numPr>
          <w:ilvl w:val="0"/>
          <w:numId w:val="28"/>
        </w:numPr>
        <w:rPr>
          <w:lang w:val="en-IE"/>
        </w:rPr>
      </w:pPr>
      <w:r w:rsidRPr="0059550D">
        <w:rPr>
          <w:lang w:val="en-IE"/>
        </w:rPr>
        <w:t>"</w:t>
      </w:r>
      <w:r w:rsidR="007D2362" w:rsidRPr="0059550D">
        <w:rPr>
          <w:lang w:val="en-IE"/>
        </w:rPr>
        <w:t>H</w:t>
      </w:r>
      <w:r w:rsidRPr="0059550D">
        <w:rPr>
          <w:lang w:val="en-IE"/>
        </w:rPr>
        <w:t>ow often do procedures run by a given buyer receive only a single bid"</w:t>
      </w:r>
    </w:p>
    <w:p w14:paraId="00AA2B22" w14:textId="23670734" w:rsidR="007D2362" w:rsidRPr="0059550D" w:rsidRDefault="007D2362" w:rsidP="00DC6C47">
      <w:pPr>
        <w:pStyle w:val="NoSpacing"/>
        <w:numPr>
          <w:ilvl w:val="0"/>
          <w:numId w:val="28"/>
        </w:numPr>
        <w:rPr>
          <w:lang w:val="en-IE"/>
        </w:rPr>
      </w:pPr>
      <w:r w:rsidRPr="0059550D">
        <w:rPr>
          <w:lang w:val="en-IE"/>
        </w:rPr>
        <w:t>“D</w:t>
      </w:r>
      <w:r w:rsidR="002841A1" w:rsidRPr="0059550D">
        <w:rPr>
          <w:lang w:val="en-IE"/>
        </w:rPr>
        <w:t xml:space="preserve">oes a certain buyer always buy from a certain supplier", </w:t>
      </w:r>
    </w:p>
    <w:p w14:paraId="4F4DF1C0" w14:textId="30FA7EBC" w:rsidR="007D2362" w:rsidRPr="0059550D" w:rsidRDefault="007D2362" w:rsidP="00DC6C47">
      <w:pPr>
        <w:pStyle w:val="NoSpacing"/>
        <w:numPr>
          <w:ilvl w:val="0"/>
          <w:numId w:val="28"/>
        </w:numPr>
        <w:rPr>
          <w:lang w:val="en-IE"/>
        </w:rPr>
      </w:pPr>
      <w:r w:rsidRPr="0059550D">
        <w:rPr>
          <w:lang w:val="en-IE"/>
        </w:rPr>
        <w:t>"D</w:t>
      </w:r>
      <w:r w:rsidR="002841A1" w:rsidRPr="0059550D">
        <w:rPr>
          <w:lang w:val="en-IE"/>
        </w:rPr>
        <w:t>oes a certain supplier never/always bid together with an</w:t>
      </w:r>
      <w:r w:rsidR="00111B6A">
        <w:rPr>
          <w:lang w:val="en-IE"/>
        </w:rPr>
        <w:t>other specific supplier", etc.</w:t>
      </w:r>
      <w:r w:rsidR="002841A1" w:rsidRPr="0059550D">
        <w:rPr>
          <w:lang w:val="en-IE"/>
        </w:rPr>
        <w:t xml:space="preserve"> </w:t>
      </w:r>
    </w:p>
    <w:p w14:paraId="2AB26145" w14:textId="77777777" w:rsidR="007D2362" w:rsidRPr="0059550D" w:rsidRDefault="007D2362" w:rsidP="007D2362">
      <w:pPr>
        <w:pStyle w:val="NoSpacing"/>
        <w:rPr>
          <w:lang w:val="en-IE"/>
        </w:rPr>
      </w:pPr>
    </w:p>
    <w:p w14:paraId="41721353" w14:textId="341760DA" w:rsidR="002841A1" w:rsidRPr="0059550D" w:rsidRDefault="007D2362" w:rsidP="007D2362">
      <w:pPr>
        <w:pStyle w:val="NoSpacing"/>
        <w:rPr>
          <w:lang w:val="en-IE"/>
        </w:rPr>
      </w:pPr>
      <w:r w:rsidRPr="0059550D">
        <w:rPr>
          <w:lang w:val="en-IE"/>
        </w:rPr>
        <w:t xml:space="preserve">Answers to these questions are important </w:t>
      </w:r>
      <w:r w:rsidR="002841A1" w:rsidRPr="0059550D">
        <w:rPr>
          <w:lang w:val="en-IE"/>
        </w:rPr>
        <w:t>for managers of national procurement systems</w:t>
      </w:r>
      <w:r w:rsidR="00446932">
        <w:rPr>
          <w:lang w:val="en-IE"/>
        </w:rPr>
        <w:t>,</w:t>
      </w:r>
      <w:r w:rsidR="002841A1" w:rsidRPr="0059550D">
        <w:rPr>
          <w:lang w:val="en-IE"/>
        </w:rPr>
        <w:t xml:space="preserve"> as well as </w:t>
      </w:r>
      <w:r w:rsidR="00446932">
        <w:rPr>
          <w:lang w:val="en-IE"/>
        </w:rPr>
        <w:t xml:space="preserve">for </w:t>
      </w:r>
      <w:r w:rsidR="002841A1" w:rsidRPr="0059550D">
        <w:rPr>
          <w:lang w:val="en-IE"/>
        </w:rPr>
        <w:t>companies doing business planning, NGOs, academics, etc.</w:t>
      </w:r>
    </w:p>
    <w:p w14:paraId="5350B76E" w14:textId="77777777" w:rsidR="002841A1" w:rsidRPr="0059550D" w:rsidRDefault="002841A1" w:rsidP="00214E3A">
      <w:pPr>
        <w:pStyle w:val="NoSpacing"/>
        <w:rPr>
          <w:lang w:val="en-IE"/>
        </w:rPr>
      </w:pPr>
    </w:p>
    <w:p w14:paraId="5A1FA98C" w14:textId="3B72DD51" w:rsidR="002841A1" w:rsidRPr="0059550D" w:rsidRDefault="00B33C4B" w:rsidP="00214E3A">
      <w:pPr>
        <w:pStyle w:val="NoSpacing"/>
        <w:rPr>
          <w:lang w:val="en-IE"/>
        </w:rPr>
      </w:pPr>
      <w:r w:rsidRPr="0059550D">
        <w:rPr>
          <w:lang w:val="en-IE"/>
        </w:rPr>
        <w:t>eForms accept</w:t>
      </w:r>
      <w:r w:rsidR="00395F47">
        <w:rPr>
          <w:rStyle w:val="FootnoteReference"/>
          <w:lang w:val="en-IE"/>
        </w:rPr>
        <w:footnoteReference w:id="44"/>
      </w:r>
      <w:r w:rsidRPr="0059550D">
        <w:rPr>
          <w:lang w:val="en-IE"/>
        </w:rPr>
        <w:t xml:space="preserve"> the same list of </w:t>
      </w:r>
      <w:r w:rsidR="003276F5" w:rsidRPr="0059550D">
        <w:rPr>
          <w:lang w:val="en-IE"/>
        </w:rPr>
        <w:t xml:space="preserve">identifier </w:t>
      </w:r>
      <w:r w:rsidRPr="0059550D">
        <w:rPr>
          <w:lang w:val="en-IE"/>
        </w:rPr>
        <w:t>schemes</w:t>
      </w:r>
      <w:r w:rsidR="003276F5" w:rsidRPr="0059550D">
        <w:rPr>
          <w:rStyle w:val="FootnoteReference"/>
          <w:lang w:val="en-IE"/>
        </w:rPr>
        <w:footnoteReference w:id="45"/>
      </w:r>
      <w:r w:rsidRPr="0059550D">
        <w:rPr>
          <w:lang w:val="en-IE"/>
        </w:rPr>
        <w:t xml:space="preserve"> as eInvoicing</w:t>
      </w:r>
      <w:r w:rsidR="005C483A" w:rsidRPr="0059550D">
        <w:rPr>
          <w:lang w:val="en-IE"/>
        </w:rPr>
        <w:t>, which is based</w:t>
      </w:r>
      <w:r w:rsidR="00C96CB1" w:rsidRPr="0059550D">
        <w:rPr>
          <w:lang w:val="en-IE"/>
        </w:rPr>
        <w:t xml:space="preserve"> on the international code designator </w:t>
      </w:r>
      <w:r w:rsidR="00E974C2" w:rsidRPr="0059550D">
        <w:rPr>
          <w:lang w:val="en-IE"/>
        </w:rPr>
        <w:t xml:space="preserve">(ICD) </w:t>
      </w:r>
      <w:r w:rsidR="00C96CB1" w:rsidRPr="0059550D">
        <w:rPr>
          <w:lang w:val="en-IE"/>
        </w:rPr>
        <w:t>falling under ISO 6523</w:t>
      </w:r>
      <w:r w:rsidR="00C96CB1" w:rsidRPr="0059550D">
        <w:rPr>
          <w:rStyle w:val="FootnoteReference"/>
          <w:lang w:val="en-IE"/>
        </w:rPr>
        <w:footnoteReference w:id="46"/>
      </w:r>
      <w:r w:rsidR="00C96CB1" w:rsidRPr="0059550D">
        <w:rPr>
          <w:lang w:val="en-IE"/>
        </w:rPr>
        <w:t xml:space="preserve">. </w:t>
      </w:r>
      <w:r w:rsidR="00E974C2" w:rsidRPr="0059550D">
        <w:rPr>
          <w:lang w:val="en-IE"/>
        </w:rPr>
        <w:t xml:space="preserve">An </w:t>
      </w:r>
      <w:r w:rsidR="00635B38" w:rsidRPr="0059550D">
        <w:rPr>
          <w:lang w:val="en-IE"/>
        </w:rPr>
        <w:t xml:space="preserve">identifier scheme </w:t>
      </w:r>
      <w:r w:rsidR="00E974C2" w:rsidRPr="0059550D">
        <w:rPr>
          <w:lang w:val="en-IE"/>
        </w:rPr>
        <w:t>can be added to the ICD for a small fee</w:t>
      </w:r>
      <w:r w:rsidR="00E974C2" w:rsidRPr="0059550D">
        <w:rPr>
          <w:rStyle w:val="FootnoteReference"/>
          <w:lang w:val="en-IE"/>
        </w:rPr>
        <w:footnoteReference w:id="47"/>
      </w:r>
      <w:r w:rsidR="00E974C2" w:rsidRPr="0059550D">
        <w:rPr>
          <w:lang w:val="en-IE"/>
        </w:rPr>
        <w:t xml:space="preserve">. </w:t>
      </w:r>
    </w:p>
    <w:p w14:paraId="114E0204" w14:textId="77777777" w:rsidR="002841A1" w:rsidRPr="0059550D" w:rsidRDefault="002841A1" w:rsidP="00214E3A">
      <w:pPr>
        <w:pStyle w:val="NoSpacing"/>
        <w:rPr>
          <w:lang w:val="en-IE"/>
        </w:rPr>
      </w:pPr>
    </w:p>
    <w:p w14:paraId="04F4CE10" w14:textId="3426420D" w:rsidR="00F76BAF" w:rsidRPr="0059550D" w:rsidRDefault="003276F5" w:rsidP="003276F5">
      <w:pPr>
        <w:pStyle w:val="NoSpacing"/>
        <w:rPr>
          <w:lang w:val="en-IE"/>
        </w:rPr>
      </w:pPr>
      <w:r w:rsidRPr="0059550D">
        <w:rPr>
          <w:lang w:val="en-IE"/>
        </w:rPr>
        <w:t xml:space="preserve">However, not all identifiers are created equal. Good identifier schemes track mergers and acquisitions, add additional information about </w:t>
      </w:r>
      <w:r w:rsidR="003D2660">
        <w:rPr>
          <w:lang w:val="en-IE"/>
        </w:rPr>
        <w:t>a</w:t>
      </w:r>
      <w:r w:rsidRPr="0059550D">
        <w:rPr>
          <w:lang w:val="en-IE"/>
        </w:rPr>
        <w:t xml:space="preserve"> company such as</w:t>
      </w:r>
      <w:r w:rsidR="003D2660">
        <w:rPr>
          <w:lang w:val="en-IE"/>
        </w:rPr>
        <w:t xml:space="preserve"> its</w:t>
      </w:r>
      <w:r w:rsidRPr="0059550D">
        <w:rPr>
          <w:lang w:val="en-IE"/>
        </w:rPr>
        <w:t xml:space="preserve"> turnover or </w:t>
      </w:r>
      <w:r w:rsidR="008E6FA6" w:rsidRPr="0059550D">
        <w:rPr>
          <w:lang w:val="en-IE"/>
        </w:rPr>
        <w:t>headcount</w:t>
      </w:r>
      <w:r w:rsidRPr="0059550D">
        <w:rPr>
          <w:lang w:val="en-IE"/>
        </w:rPr>
        <w:t xml:space="preserve">, are available in </w:t>
      </w:r>
      <w:r w:rsidR="008E6FA6" w:rsidRPr="0059550D">
        <w:rPr>
          <w:lang w:val="en-IE"/>
        </w:rPr>
        <w:t xml:space="preserve">searchable </w:t>
      </w:r>
      <w:r w:rsidRPr="0059550D">
        <w:rPr>
          <w:lang w:val="en-IE"/>
        </w:rPr>
        <w:t>open data formats, etc. An example of a high-quality identifier scheme is the Legal Entity Identifier, which is available in all EU countries</w:t>
      </w:r>
      <w:r w:rsidRPr="0059550D">
        <w:rPr>
          <w:rStyle w:val="FootnoteReference"/>
          <w:lang w:val="en-IE"/>
        </w:rPr>
        <w:footnoteReference w:id="48"/>
      </w:r>
      <w:r w:rsidRPr="0059550D">
        <w:rPr>
          <w:lang w:val="en-IE"/>
        </w:rPr>
        <w:t>.</w:t>
      </w:r>
      <w:r w:rsidR="00F76BAF" w:rsidRPr="0059550D">
        <w:rPr>
          <w:lang w:val="en-IE"/>
        </w:rPr>
        <w:t xml:space="preserve"> </w:t>
      </w:r>
    </w:p>
    <w:p w14:paraId="25B285C9" w14:textId="77777777" w:rsidR="00F76BAF" w:rsidRPr="0059550D" w:rsidRDefault="00F76BAF" w:rsidP="003276F5">
      <w:pPr>
        <w:pStyle w:val="NoSpacing"/>
        <w:rPr>
          <w:lang w:val="en-IE"/>
        </w:rPr>
      </w:pPr>
    </w:p>
    <w:p w14:paraId="1388E7EE" w14:textId="203A2389" w:rsidR="00D546CB" w:rsidRPr="0059550D" w:rsidRDefault="00865C86" w:rsidP="00214E3A">
      <w:pPr>
        <w:pStyle w:val="NoSpacing"/>
        <w:rPr>
          <w:lang w:val="en-IE"/>
        </w:rPr>
      </w:pPr>
      <w:r w:rsidRPr="0059550D">
        <w:rPr>
          <w:lang w:val="en-IE"/>
        </w:rPr>
        <w:t>The tailoring decision for the organisation identifier consists of deciding whether only certain ICD identifier issuers will be accepted (this will then be implemented by additional business rules, see below) and ensuring that any identifier scheme to be used is part of the</w:t>
      </w:r>
      <w:r w:rsidR="00B32EA2">
        <w:rPr>
          <w:lang w:val="en-IE"/>
        </w:rPr>
        <w:t xml:space="preserve"> ICD</w:t>
      </w:r>
      <w:r w:rsidRPr="0059550D">
        <w:rPr>
          <w:lang w:val="en-IE"/>
        </w:rPr>
        <w:t xml:space="preserve"> codelist. </w:t>
      </w:r>
    </w:p>
    <w:p w14:paraId="47AAAE9B" w14:textId="7337E07A" w:rsidR="00AB0F09" w:rsidRPr="00A443B5" w:rsidRDefault="00337EE5" w:rsidP="00AB0F09">
      <w:pPr>
        <w:pStyle w:val="Heading3"/>
        <w:rPr>
          <w:lang w:val="fr-BE"/>
        </w:rPr>
      </w:pPr>
      <w:bookmarkStart w:id="58" w:name="_Toc25684092"/>
      <w:bookmarkStart w:id="59" w:name="_Ref20144477"/>
      <w:r w:rsidRPr="00A443B5">
        <w:rPr>
          <w:lang w:val="fr-BE"/>
        </w:rPr>
        <w:t>Contract EU Funds Identifier</w:t>
      </w:r>
      <w:bookmarkEnd w:id="58"/>
      <w:r w:rsidRPr="00A443B5">
        <w:rPr>
          <w:lang w:val="fr-BE"/>
        </w:rPr>
        <w:t xml:space="preserve"> </w:t>
      </w:r>
      <w:bookmarkEnd w:id="59"/>
    </w:p>
    <w:p w14:paraId="1D6F5906" w14:textId="7420BD46" w:rsidR="00AB0F09" w:rsidRPr="00A443B5" w:rsidRDefault="00AB0F09" w:rsidP="00214E3A">
      <w:pPr>
        <w:pStyle w:val="NoSpacing"/>
        <w:rPr>
          <w:lang w:val="fr-BE"/>
        </w:rPr>
      </w:pPr>
    </w:p>
    <w:p w14:paraId="6F1062CA" w14:textId="3A3084B5" w:rsidR="00452B3F" w:rsidRDefault="00187198" w:rsidP="00214E3A">
      <w:pPr>
        <w:pStyle w:val="NoSpacing"/>
        <w:rPr>
          <w:lang w:val="en-IE"/>
        </w:rPr>
      </w:pPr>
      <w:r w:rsidRPr="0059550D">
        <w:rPr>
          <w:lang w:val="en-IE"/>
        </w:rPr>
        <w:t>The Contract EU Funds Identifier is an optional field</w:t>
      </w:r>
      <w:r w:rsidR="007D6EFE">
        <w:rPr>
          <w:rStyle w:val="FootnoteReference"/>
          <w:lang w:val="en-IE"/>
        </w:rPr>
        <w:footnoteReference w:id="49"/>
      </w:r>
      <w:r w:rsidRPr="0059550D">
        <w:rPr>
          <w:lang w:val="en-IE"/>
        </w:rPr>
        <w:t xml:space="preserve"> that may be particularly useful in countries with large amounts of </w:t>
      </w:r>
      <w:r w:rsidR="007D6EFE" w:rsidRPr="007D6EFE">
        <w:rPr>
          <w:lang w:val="en-IE"/>
        </w:rPr>
        <w:t xml:space="preserve">European Structural and Investment Funds </w:t>
      </w:r>
      <w:r w:rsidR="007D6EFE">
        <w:rPr>
          <w:lang w:val="en-IE"/>
        </w:rPr>
        <w:t>(</w:t>
      </w:r>
      <w:r w:rsidRPr="0059550D">
        <w:rPr>
          <w:lang w:val="en-IE"/>
        </w:rPr>
        <w:t>ESIF</w:t>
      </w:r>
      <w:r w:rsidR="007D6EFE">
        <w:rPr>
          <w:lang w:val="en-IE"/>
        </w:rPr>
        <w:t>)</w:t>
      </w:r>
      <w:r w:rsidRPr="0059550D">
        <w:rPr>
          <w:lang w:val="en-IE"/>
        </w:rPr>
        <w:t xml:space="preserve">, where it can be used to </w:t>
      </w:r>
      <w:r w:rsidR="007911B9">
        <w:rPr>
          <w:lang w:val="en-IE"/>
        </w:rPr>
        <w:t>link</w:t>
      </w:r>
      <w:r w:rsidR="007911B9" w:rsidRPr="0059550D">
        <w:rPr>
          <w:lang w:val="en-IE"/>
        </w:rPr>
        <w:t xml:space="preserve"> </w:t>
      </w:r>
      <w:r w:rsidRPr="0059550D">
        <w:rPr>
          <w:lang w:val="en-IE"/>
        </w:rPr>
        <w:t>data on public procurement and EU funded projects (see discussion in</w:t>
      </w:r>
      <w:r w:rsidR="00236798">
        <w:rPr>
          <w:lang w:val="en-IE"/>
        </w:rPr>
        <w:t xml:space="preserve"> Checklist 1 </w:t>
      </w:r>
      <w:r w:rsidR="0075258D">
        <w:rPr>
          <w:lang w:val="en-IE"/>
        </w:rPr>
        <w:t>- Tailoring fields</w:t>
      </w:r>
      <w:r w:rsidRPr="0059550D">
        <w:rPr>
          <w:lang w:val="en-IE"/>
        </w:rPr>
        <w:t xml:space="preserve">). </w:t>
      </w:r>
    </w:p>
    <w:p w14:paraId="4FD794AC" w14:textId="77777777" w:rsidR="00452B3F" w:rsidRDefault="00452B3F" w:rsidP="00214E3A">
      <w:pPr>
        <w:pStyle w:val="NoSpacing"/>
        <w:rPr>
          <w:lang w:val="en-IE"/>
        </w:rPr>
      </w:pPr>
    </w:p>
    <w:p w14:paraId="7D042B38" w14:textId="7C0B6057" w:rsidR="00187198" w:rsidRPr="0059550D" w:rsidRDefault="00A56796" w:rsidP="00214E3A">
      <w:pPr>
        <w:pStyle w:val="NoSpacing"/>
        <w:rPr>
          <w:lang w:val="en-IE"/>
        </w:rPr>
      </w:pPr>
      <w:r w:rsidRPr="0059550D">
        <w:rPr>
          <w:lang w:val="en-IE"/>
        </w:rPr>
        <w:t xml:space="preserve">It contains </w:t>
      </w:r>
      <w:r w:rsidR="00032904" w:rsidRPr="0059550D">
        <w:rPr>
          <w:lang w:val="en-IE"/>
        </w:rPr>
        <w:t>reliabl</w:t>
      </w:r>
      <w:r w:rsidR="007911B9">
        <w:rPr>
          <w:lang w:val="en-IE"/>
        </w:rPr>
        <w:t>e</w:t>
      </w:r>
      <w:r w:rsidR="00032904" w:rsidRPr="0059550D">
        <w:rPr>
          <w:lang w:val="en-IE"/>
        </w:rPr>
        <w:t xml:space="preserve"> machine-readable </w:t>
      </w:r>
      <w:r w:rsidRPr="0059550D">
        <w:rPr>
          <w:lang w:val="en-IE"/>
        </w:rPr>
        <w:t xml:space="preserve">data and accompanies </w:t>
      </w:r>
      <w:r w:rsidR="00452B3F">
        <w:rPr>
          <w:lang w:val="en-IE"/>
        </w:rPr>
        <w:t xml:space="preserve">the </w:t>
      </w:r>
      <w:r w:rsidR="0056274A">
        <w:rPr>
          <w:lang w:val="en-IE"/>
        </w:rPr>
        <w:t>‘</w:t>
      </w:r>
      <w:r w:rsidRPr="0059550D">
        <w:rPr>
          <w:lang w:val="en-IE"/>
        </w:rPr>
        <w:t>Contract EU Funds Name</w:t>
      </w:r>
      <w:r w:rsidR="0056274A">
        <w:rPr>
          <w:lang w:val="en-IE"/>
        </w:rPr>
        <w:t>’</w:t>
      </w:r>
      <w:r w:rsidR="00452B3F">
        <w:rPr>
          <w:lang w:val="en-IE"/>
        </w:rPr>
        <w:t xml:space="preserve"> field</w:t>
      </w:r>
      <w:r w:rsidR="0056274A">
        <w:rPr>
          <w:rStyle w:val="FootnoteReference"/>
          <w:lang w:val="en-IE"/>
        </w:rPr>
        <w:footnoteReference w:id="50"/>
      </w:r>
      <w:r w:rsidR="0056274A">
        <w:rPr>
          <w:lang w:val="en-IE"/>
        </w:rPr>
        <w:t xml:space="preserve">, </w:t>
      </w:r>
      <w:r w:rsidRPr="0059550D">
        <w:rPr>
          <w:lang w:val="en-IE"/>
        </w:rPr>
        <w:t xml:space="preserve">which </w:t>
      </w:r>
      <w:r w:rsidR="00032904" w:rsidRPr="0059550D">
        <w:rPr>
          <w:lang w:val="en-IE"/>
        </w:rPr>
        <w:t xml:space="preserve">is intended for human-readable data. </w:t>
      </w:r>
      <w:r w:rsidR="007911B9">
        <w:rPr>
          <w:lang w:val="en-IE"/>
        </w:rPr>
        <w:t xml:space="preserve">Linking </w:t>
      </w:r>
      <w:r w:rsidR="00B83C3F">
        <w:rPr>
          <w:lang w:val="en-IE"/>
        </w:rPr>
        <w:t xml:space="preserve">data on EU funds and public procurement can help identify barriers to spending EU funds (e.g. procedural problems in procurement procedures </w:t>
      </w:r>
      <w:r w:rsidR="007911B9">
        <w:rPr>
          <w:lang w:val="en-IE"/>
        </w:rPr>
        <w:t>resulting in</w:t>
      </w:r>
      <w:r w:rsidR="00B83C3F">
        <w:rPr>
          <w:lang w:val="en-IE"/>
        </w:rPr>
        <w:t xml:space="preserve"> contracts </w:t>
      </w:r>
      <w:r w:rsidR="007911B9">
        <w:rPr>
          <w:lang w:val="en-IE"/>
        </w:rPr>
        <w:t xml:space="preserve">that </w:t>
      </w:r>
      <w:r w:rsidR="00B83C3F">
        <w:rPr>
          <w:lang w:val="en-IE"/>
        </w:rPr>
        <w:t xml:space="preserve">cannot be signed in time) as well as highlight possible risks (e.g. corruption &amp; collusion). </w:t>
      </w:r>
    </w:p>
    <w:p w14:paraId="64AAB345" w14:textId="77777777" w:rsidR="00187198" w:rsidRPr="0059550D" w:rsidRDefault="00187198" w:rsidP="00214E3A">
      <w:pPr>
        <w:pStyle w:val="NoSpacing"/>
        <w:rPr>
          <w:lang w:val="en-IE"/>
        </w:rPr>
      </w:pPr>
    </w:p>
    <w:p w14:paraId="143BE87E" w14:textId="3A724B35" w:rsidR="00694DD2" w:rsidRPr="0059550D" w:rsidRDefault="000C53C0" w:rsidP="00214E3A">
      <w:pPr>
        <w:pStyle w:val="NoSpacing"/>
        <w:rPr>
          <w:vertAlign w:val="subscript"/>
          <w:lang w:val="en-IE"/>
        </w:rPr>
      </w:pPr>
      <w:r w:rsidRPr="0059550D">
        <w:rPr>
          <w:lang w:val="en-IE"/>
        </w:rPr>
        <w:t>The description of the field requires “a</w:t>
      </w:r>
      <w:r w:rsidR="00187198" w:rsidRPr="0059550D">
        <w:rPr>
          <w:lang w:val="en-IE"/>
        </w:rPr>
        <w:t>n identifier of the European Union funds used to at least partially finance the contract</w:t>
      </w:r>
      <w:r w:rsidRPr="0059550D">
        <w:rPr>
          <w:lang w:val="en-IE"/>
        </w:rPr>
        <w:t>” and specifies that “</w:t>
      </w:r>
      <w:r w:rsidR="00187198" w:rsidRPr="0059550D">
        <w:rPr>
          <w:lang w:val="en-IE"/>
        </w:rPr>
        <w:t>The most concrete information must be given (e.g. about concrete projects, not just operational program</w:t>
      </w:r>
      <w:r w:rsidR="005B284C">
        <w:rPr>
          <w:lang w:val="en-IE"/>
        </w:rPr>
        <w:t>me</w:t>
      </w:r>
      <w:r w:rsidR="00187198" w:rsidRPr="0059550D">
        <w:rPr>
          <w:lang w:val="en-IE"/>
        </w:rPr>
        <w:t>s.)</w:t>
      </w:r>
      <w:r w:rsidRPr="0059550D">
        <w:rPr>
          <w:lang w:val="en-IE"/>
        </w:rPr>
        <w:t xml:space="preserve">” However, </w:t>
      </w:r>
      <w:r w:rsidR="00694DD2" w:rsidRPr="0059550D">
        <w:rPr>
          <w:lang w:val="en-IE"/>
        </w:rPr>
        <w:t>as of writing, it is not yet clear what identifier will be available for EU fund spending falling under the multiannual financial framework 2021-2027. For the multiannual financial framework 2014-2020, only European Structural and Investment Funds ha</w:t>
      </w:r>
      <w:r w:rsidR="007911B9">
        <w:rPr>
          <w:lang w:val="en-IE"/>
        </w:rPr>
        <w:t>ve</w:t>
      </w:r>
      <w:r w:rsidR="00694DD2" w:rsidRPr="0059550D">
        <w:rPr>
          <w:lang w:val="en-IE"/>
        </w:rPr>
        <w:t xml:space="preserve"> an EU-wide identifier (CCI</w:t>
      </w:r>
      <w:r w:rsidR="00694DD2" w:rsidRPr="0059550D">
        <w:rPr>
          <w:rStyle w:val="FootnoteReference"/>
          <w:lang w:val="en-IE"/>
        </w:rPr>
        <w:footnoteReference w:id="51"/>
      </w:r>
      <w:r w:rsidR="00694DD2" w:rsidRPr="0059550D">
        <w:rPr>
          <w:lang w:val="en-IE"/>
        </w:rPr>
        <w:t xml:space="preserve">) at the level of programmes, not calls or projects. </w:t>
      </w:r>
      <w:r w:rsidR="00BF0751" w:rsidRPr="0059550D">
        <w:rPr>
          <w:lang w:val="en-IE"/>
        </w:rPr>
        <w:t xml:space="preserve">Call and project identifiers are then </w:t>
      </w:r>
      <w:r w:rsidR="00BF0751" w:rsidRPr="001622D7">
        <w:rPr>
          <w:lang w:val="en-IE"/>
        </w:rPr>
        <w:t>set independently in each country.</w:t>
      </w:r>
    </w:p>
    <w:p w14:paraId="3844F49D" w14:textId="51F6BAEA" w:rsidR="00694DD2" w:rsidRPr="0059550D" w:rsidRDefault="00694DD2" w:rsidP="00214E3A">
      <w:pPr>
        <w:pStyle w:val="NoSpacing"/>
        <w:rPr>
          <w:lang w:val="en-IE"/>
        </w:rPr>
      </w:pPr>
    </w:p>
    <w:p w14:paraId="4C5587C1" w14:textId="340B899B" w:rsidR="008E7AC2" w:rsidRPr="0059550D" w:rsidRDefault="000C1A20" w:rsidP="000C1A20">
      <w:pPr>
        <w:pStyle w:val="Heading2"/>
        <w:rPr>
          <w:lang w:val="en-IE"/>
        </w:rPr>
      </w:pPr>
      <w:r>
        <w:rPr>
          <w:lang w:val="en-IE"/>
        </w:rPr>
        <w:t>T</w:t>
      </w:r>
      <w:bookmarkStart w:id="60" w:name="_Toc25684094"/>
      <w:r w:rsidR="007E7398" w:rsidRPr="0059550D">
        <w:rPr>
          <w:lang w:val="en-IE"/>
        </w:rPr>
        <w:t>ailoring business rules</w:t>
      </w:r>
      <w:bookmarkEnd w:id="60"/>
    </w:p>
    <w:p w14:paraId="469492B5" w14:textId="77777777" w:rsidR="008E7AC2" w:rsidRPr="0059550D" w:rsidRDefault="008E7AC2" w:rsidP="008E7AC2">
      <w:pPr>
        <w:pStyle w:val="NoSpacing"/>
        <w:rPr>
          <w:lang w:val="en-IE"/>
        </w:rPr>
      </w:pPr>
    </w:p>
    <w:p w14:paraId="5F91A5BB" w14:textId="39AAC96A" w:rsidR="008E7AC2" w:rsidRPr="0059550D" w:rsidRDefault="0045303B" w:rsidP="0045303B">
      <w:pPr>
        <w:pStyle w:val="NoSpacing"/>
        <w:rPr>
          <w:lang w:val="en-IE"/>
        </w:rPr>
      </w:pPr>
      <w:r w:rsidRPr="0059550D">
        <w:rPr>
          <w:lang w:val="en-IE"/>
        </w:rPr>
        <w:t xml:space="preserve">eForms contain a wide array of business rules. These </w:t>
      </w:r>
      <w:r w:rsidR="00B06D03">
        <w:rPr>
          <w:lang w:val="en-IE"/>
        </w:rPr>
        <w:t>will be</w:t>
      </w:r>
      <w:r w:rsidR="00B06D03" w:rsidRPr="0059550D">
        <w:rPr>
          <w:lang w:val="en-IE"/>
        </w:rPr>
        <w:t xml:space="preserve"> </w:t>
      </w:r>
      <w:r w:rsidRPr="0059550D">
        <w:rPr>
          <w:lang w:val="en-IE"/>
        </w:rPr>
        <w:t xml:space="preserve">published by the Publications Office of the EU. At national level, there may be a limited number of situations where tailoring or adding business rules may be helpful. </w:t>
      </w:r>
    </w:p>
    <w:p w14:paraId="501F1832" w14:textId="77777777" w:rsidR="008E7AC2" w:rsidRPr="0059550D" w:rsidRDefault="008E7AC2" w:rsidP="0045303B">
      <w:pPr>
        <w:pStyle w:val="NoSpacing"/>
        <w:rPr>
          <w:lang w:val="en-IE"/>
        </w:rPr>
      </w:pPr>
    </w:p>
    <w:p w14:paraId="05449F68" w14:textId="3234AA66" w:rsidR="008E7AC2" w:rsidRPr="0059550D" w:rsidRDefault="008E7AC2" w:rsidP="0045303B">
      <w:pPr>
        <w:pStyle w:val="NoSpacing"/>
        <w:rPr>
          <w:lang w:val="en-IE"/>
        </w:rPr>
      </w:pPr>
      <w:r w:rsidRPr="0059550D">
        <w:rPr>
          <w:lang w:val="en-IE"/>
        </w:rPr>
        <w:t xml:space="preserve">These tailored rules may reflect the </w:t>
      </w:r>
      <w:r w:rsidR="0045303B" w:rsidRPr="0059550D">
        <w:rPr>
          <w:lang w:val="en-IE"/>
        </w:rPr>
        <w:t>specificities of national legislation</w:t>
      </w:r>
      <w:r w:rsidRPr="0059550D">
        <w:rPr>
          <w:lang w:val="en-IE"/>
        </w:rPr>
        <w:t>.</w:t>
      </w:r>
      <w:r w:rsidR="00395F47">
        <w:rPr>
          <w:lang w:val="en-IE"/>
        </w:rPr>
        <w:t xml:space="preserve"> However, all notices to be published on TED will have to pass the validation of the EU business rules.</w:t>
      </w:r>
    </w:p>
    <w:p w14:paraId="6029292A" w14:textId="77777777" w:rsidR="008E7AC2" w:rsidRPr="0059550D" w:rsidRDefault="008E7AC2" w:rsidP="0045303B">
      <w:pPr>
        <w:pStyle w:val="NoSpacing"/>
        <w:rPr>
          <w:lang w:val="en-IE"/>
        </w:rPr>
      </w:pPr>
    </w:p>
    <w:p w14:paraId="47EFC703" w14:textId="570523C3" w:rsidR="0045303B" w:rsidRPr="0059550D" w:rsidRDefault="00E30B03" w:rsidP="0045303B">
      <w:pPr>
        <w:pStyle w:val="NoSpacing"/>
        <w:rPr>
          <w:lang w:val="en-IE"/>
        </w:rPr>
      </w:pPr>
      <w:r w:rsidRPr="0059550D">
        <w:rPr>
          <w:lang w:val="en-IE"/>
        </w:rPr>
        <w:t>If eForms are used below-threshold (see</w:t>
      </w:r>
      <w:r w:rsidR="006128C8">
        <w:rPr>
          <w:lang w:val="en-IE"/>
        </w:rPr>
        <w:t xml:space="preserve"> section</w:t>
      </w:r>
      <w:r w:rsidRPr="0059550D">
        <w:rPr>
          <w:lang w:val="en-IE"/>
        </w:rPr>
        <w:t xml:space="preserve"> </w:t>
      </w:r>
      <w:r w:rsidRPr="0059550D">
        <w:rPr>
          <w:lang w:val="en-IE"/>
        </w:rPr>
        <w:fldChar w:fldCharType="begin"/>
      </w:r>
      <w:r w:rsidRPr="0059550D">
        <w:rPr>
          <w:lang w:val="en-IE"/>
        </w:rPr>
        <w:instrText xml:space="preserve"> REF _Ref19031624 \r \h </w:instrText>
      </w:r>
      <w:r w:rsidRPr="0059550D">
        <w:rPr>
          <w:lang w:val="en-IE"/>
        </w:rPr>
      </w:r>
      <w:r w:rsidRPr="0059550D">
        <w:rPr>
          <w:lang w:val="en-IE"/>
        </w:rPr>
        <w:fldChar w:fldCharType="separate"/>
      </w:r>
      <w:r w:rsidR="00031242">
        <w:rPr>
          <w:lang w:val="en-IE"/>
        </w:rPr>
        <w:t>3.3.1</w:t>
      </w:r>
      <w:r w:rsidRPr="0059550D">
        <w:rPr>
          <w:lang w:val="en-IE"/>
        </w:rPr>
        <w:fldChar w:fldCharType="end"/>
      </w:r>
      <w:r w:rsidRPr="0059550D">
        <w:rPr>
          <w:lang w:val="en-IE"/>
        </w:rPr>
        <w:t xml:space="preserve">), then the below-threshold regime </w:t>
      </w:r>
      <w:r w:rsidR="00FC0AE1">
        <w:rPr>
          <w:lang w:val="en-IE"/>
        </w:rPr>
        <w:t>may</w:t>
      </w:r>
      <w:r w:rsidR="00FC0AE1" w:rsidRPr="0059550D">
        <w:rPr>
          <w:lang w:val="en-IE"/>
        </w:rPr>
        <w:t xml:space="preserve"> </w:t>
      </w:r>
      <w:r w:rsidRPr="0059550D">
        <w:rPr>
          <w:lang w:val="en-IE"/>
        </w:rPr>
        <w:t xml:space="preserve">require </w:t>
      </w:r>
      <w:r w:rsidR="0045303B" w:rsidRPr="0059550D">
        <w:rPr>
          <w:lang w:val="en-IE"/>
        </w:rPr>
        <w:t xml:space="preserve">its own set of business rules. </w:t>
      </w:r>
    </w:p>
    <w:p w14:paraId="63C8CC00" w14:textId="4723D2BB" w:rsidR="0045303B" w:rsidRPr="0059550D" w:rsidRDefault="0045303B" w:rsidP="0045303B">
      <w:pPr>
        <w:pStyle w:val="NoSpacing"/>
        <w:rPr>
          <w:lang w:val="en-IE"/>
        </w:rPr>
      </w:pPr>
    </w:p>
    <w:p w14:paraId="445835FC" w14:textId="27581BDD" w:rsidR="0045303B" w:rsidRDefault="0045303B" w:rsidP="0045303B">
      <w:pPr>
        <w:pStyle w:val="NoSpacing"/>
        <w:rPr>
          <w:lang w:val="en-IE"/>
        </w:rPr>
      </w:pPr>
      <w:r w:rsidRPr="0059550D">
        <w:rPr>
          <w:lang w:val="en-IE"/>
        </w:rPr>
        <w:t xml:space="preserve">There may also </w:t>
      </w:r>
      <w:r w:rsidR="00047A95">
        <w:rPr>
          <w:lang w:val="en-IE"/>
        </w:rPr>
        <w:t xml:space="preserve">be </w:t>
      </w:r>
      <w:r w:rsidRPr="0059550D">
        <w:rPr>
          <w:lang w:val="en-IE"/>
        </w:rPr>
        <w:t xml:space="preserve">technical reasons </w:t>
      </w:r>
      <w:r w:rsidR="00796BF9" w:rsidRPr="0059550D">
        <w:rPr>
          <w:lang w:val="en-IE"/>
        </w:rPr>
        <w:t>for national</w:t>
      </w:r>
      <w:r w:rsidRPr="0059550D">
        <w:rPr>
          <w:lang w:val="en-IE"/>
        </w:rPr>
        <w:t xml:space="preserve"> business rules. For example, if a country </w:t>
      </w:r>
      <w:r w:rsidR="003E7CD0">
        <w:rPr>
          <w:lang w:val="en-IE"/>
        </w:rPr>
        <w:t xml:space="preserve">has </w:t>
      </w:r>
      <w:r w:rsidRPr="0059550D">
        <w:rPr>
          <w:lang w:val="en-IE"/>
        </w:rPr>
        <w:t xml:space="preserve">a list of organisation identifiers corresponding to the list of </w:t>
      </w:r>
      <w:r w:rsidR="002407AA">
        <w:rPr>
          <w:lang w:val="en-IE"/>
        </w:rPr>
        <w:t xml:space="preserve">central government authorities </w:t>
      </w:r>
      <w:r w:rsidRPr="0059550D">
        <w:rPr>
          <w:lang w:val="en-IE"/>
        </w:rPr>
        <w:t>in Annex I</w:t>
      </w:r>
      <w:r w:rsidR="00796BF9" w:rsidRPr="0059550D">
        <w:rPr>
          <w:lang w:val="en-IE"/>
        </w:rPr>
        <w:t xml:space="preserve"> of Directive 2014/24/EU</w:t>
      </w:r>
      <w:r w:rsidRPr="0059550D">
        <w:rPr>
          <w:lang w:val="en-IE"/>
        </w:rPr>
        <w:t xml:space="preserve">, then a </w:t>
      </w:r>
      <w:r w:rsidR="00796BF9" w:rsidRPr="0059550D">
        <w:rPr>
          <w:lang w:val="en-IE"/>
        </w:rPr>
        <w:t xml:space="preserve">national business </w:t>
      </w:r>
      <w:r w:rsidRPr="0059550D">
        <w:rPr>
          <w:lang w:val="en-IE"/>
        </w:rPr>
        <w:t xml:space="preserve">rule can </w:t>
      </w:r>
      <w:r w:rsidR="003E7CD0">
        <w:rPr>
          <w:lang w:val="en-IE"/>
        </w:rPr>
        <w:t xml:space="preserve">prescribe </w:t>
      </w:r>
      <w:r w:rsidRPr="0059550D">
        <w:rPr>
          <w:lang w:val="en-IE"/>
        </w:rPr>
        <w:t xml:space="preserve">that </w:t>
      </w:r>
      <w:r w:rsidR="00533E5C" w:rsidRPr="0059550D">
        <w:rPr>
          <w:lang w:val="en-IE"/>
        </w:rPr>
        <w:t xml:space="preserve">only authorities on </w:t>
      </w:r>
      <w:r w:rsidR="003E7CD0">
        <w:rPr>
          <w:lang w:val="en-IE"/>
        </w:rPr>
        <w:t xml:space="preserve">this </w:t>
      </w:r>
      <w:r w:rsidR="00533E5C" w:rsidRPr="0059550D">
        <w:rPr>
          <w:lang w:val="en-IE"/>
        </w:rPr>
        <w:t xml:space="preserve">list may classify themselves as “Central Government Authorities” in </w:t>
      </w:r>
      <w:r w:rsidR="005B284C">
        <w:rPr>
          <w:lang w:val="en-IE"/>
        </w:rPr>
        <w:t xml:space="preserve">the </w:t>
      </w:r>
      <w:r w:rsidR="00533E5C" w:rsidRPr="0059550D">
        <w:rPr>
          <w:lang w:val="en-IE"/>
        </w:rPr>
        <w:t xml:space="preserve">Buyer Legal Type </w:t>
      </w:r>
      <w:r w:rsidR="005B284C">
        <w:rPr>
          <w:lang w:val="en-IE"/>
        </w:rPr>
        <w:t>field</w:t>
      </w:r>
      <w:r w:rsidR="005B284C">
        <w:rPr>
          <w:rStyle w:val="FootnoteReference"/>
          <w:lang w:val="en-IE"/>
        </w:rPr>
        <w:footnoteReference w:id="52"/>
      </w:r>
      <w:r w:rsidR="005B284C">
        <w:rPr>
          <w:lang w:val="en-IE"/>
        </w:rPr>
        <w:t xml:space="preserve">. </w:t>
      </w:r>
    </w:p>
    <w:p w14:paraId="335A67DA" w14:textId="6A7C674C" w:rsidR="006C0132" w:rsidRDefault="006C0132" w:rsidP="0045303B">
      <w:pPr>
        <w:pStyle w:val="NoSpacing"/>
        <w:rPr>
          <w:lang w:val="en-IE"/>
        </w:rPr>
      </w:pPr>
    </w:p>
    <w:p w14:paraId="19C6F0AA" w14:textId="77777777" w:rsidR="00343D22" w:rsidRDefault="006C0132" w:rsidP="0019221B">
      <w:pPr>
        <w:jc w:val="both"/>
        <w:rPr>
          <w:lang w:val="en-IE"/>
        </w:rPr>
      </w:pPr>
      <w:r>
        <w:rPr>
          <w:lang w:val="en-IE"/>
        </w:rPr>
        <w:t xml:space="preserve">Similarly, business rules may also </w:t>
      </w:r>
      <w:r w:rsidR="00565538">
        <w:rPr>
          <w:lang w:val="en-IE"/>
        </w:rPr>
        <w:t>be used to change rules about</w:t>
      </w:r>
      <w:r>
        <w:rPr>
          <w:lang w:val="en-IE"/>
        </w:rPr>
        <w:t xml:space="preserve"> certain fields that are marked in the eForms Regulation </w:t>
      </w:r>
      <w:r w:rsidRPr="00FC0AE1">
        <w:rPr>
          <w:lang w:val="en-IE"/>
        </w:rPr>
        <w:t xml:space="preserve">as </w:t>
      </w:r>
      <w:r w:rsidRPr="00A42F8C">
        <w:rPr>
          <w:lang w:val="en-IE"/>
        </w:rPr>
        <w:t>mandatory</w:t>
      </w:r>
      <w:r w:rsidRPr="00FC0AE1">
        <w:rPr>
          <w:lang w:val="en-IE"/>
        </w:rPr>
        <w:t>,</w:t>
      </w:r>
      <w:r>
        <w:rPr>
          <w:lang w:val="en-IE"/>
        </w:rPr>
        <w:t xml:space="preserve"> but a </w:t>
      </w:r>
      <w:r w:rsidRPr="0059550D">
        <w:rPr>
          <w:lang w:val="en-IE"/>
        </w:rPr>
        <w:t>notice may be published without this information</w:t>
      </w:r>
      <w:r>
        <w:rPr>
          <w:lang w:val="en-IE"/>
        </w:rPr>
        <w:t xml:space="preserve"> nevertheless</w:t>
      </w:r>
      <w:r>
        <w:rPr>
          <w:rStyle w:val="FootnoteReference"/>
          <w:lang w:val="en-IE"/>
        </w:rPr>
        <w:footnoteReference w:id="53"/>
      </w:r>
      <w:r>
        <w:rPr>
          <w:lang w:val="en-IE"/>
        </w:rPr>
        <w:t>.</w:t>
      </w:r>
      <w:r w:rsidR="00565538">
        <w:rPr>
          <w:lang w:val="en-IE"/>
        </w:rPr>
        <w:t xml:space="preserve"> </w:t>
      </w:r>
    </w:p>
    <w:p w14:paraId="761A96ED" w14:textId="77777777" w:rsidR="00343D22" w:rsidRDefault="00343D22" w:rsidP="0019221B">
      <w:pPr>
        <w:jc w:val="both"/>
        <w:rPr>
          <w:lang w:val="en-IE"/>
        </w:rPr>
      </w:pPr>
    </w:p>
    <w:p w14:paraId="4193B6FC" w14:textId="48D05107" w:rsidR="006C0132" w:rsidRDefault="00565538" w:rsidP="0019221B">
      <w:pPr>
        <w:jc w:val="both"/>
        <w:rPr>
          <w:lang w:val="en-IE"/>
        </w:rPr>
      </w:pPr>
      <w:r w:rsidRPr="0059550D">
        <w:rPr>
          <w:lang w:val="en-IE"/>
        </w:rPr>
        <w:t xml:space="preserve">For example, </w:t>
      </w:r>
      <w:r w:rsidR="00F37725">
        <w:rPr>
          <w:lang w:val="en-IE"/>
        </w:rPr>
        <w:t>‘</w:t>
      </w:r>
      <w:r w:rsidR="00960A11" w:rsidRPr="00960A11">
        <w:rPr>
          <w:lang w:val="en-IE"/>
        </w:rPr>
        <w:t xml:space="preserve">Organisation </w:t>
      </w:r>
      <w:r w:rsidR="00960A11" w:rsidRPr="009727E0">
        <w:rPr>
          <w:lang w:val="en-IE"/>
        </w:rPr>
        <w:t>Street</w:t>
      </w:r>
      <w:r w:rsidR="00F37725">
        <w:rPr>
          <w:lang w:val="en-IE"/>
        </w:rPr>
        <w:t>’</w:t>
      </w:r>
      <w:r w:rsidR="00F37725">
        <w:rPr>
          <w:rStyle w:val="FootnoteReference"/>
          <w:lang w:val="en-IE"/>
        </w:rPr>
        <w:footnoteReference w:id="54"/>
      </w:r>
      <w:r w:rsidRPr="009727E0">
        <w:rPr>
          <w:lang w:val="en-IE"/>
        </w:rPr>
        <w:t>is mandatory</w:t>
      </w:r>
      <w:r w:rsidRPr="0059550D">
        <w:rPr>
          <w:lang w:val="en-IE"/>
        </w:rPr>
        <w:t xml:space="preserve"> if </w:t>
      </w:r>
      <w:r w:rsidR="00960A11">
        <w:rPr>
          <w:lang w:val="en-IE"/>
        </w:rPr>
        <w:t xml:space="preserve">an </w:t>
      </w:r>
      <w:r w:rsidRPr="0059550D">
        <w:rPr>
          <w:lang w:val="en-IE"/>
        </w:rPr>
        <w:t xml:space="preserve">organisation has a street address. However, since in certain EU countries not all buyers (or other organisations) have street addresses, a notice may nevertheless be published without this information. If it is </w:t>
      </w:r>
      <w:r w:rsidR="00960A11">
        <w:rPr>
          <w:lang w:val="en-IE"/>
        </w:rPr>
        <w:t xml:space="preserve">certain </w:t>
      </w:r>
      <w:r w:rsidRPr="0059550D">
        <w:rPr>
          <w:lang w:val="en-IE"/>
        </w:rPr>
        <w:t xml:space="preserve">that eForms </w:t>
      </w:r>
      <w:r>
        <w:rPr>
          <w:lang w:val="en-IE"/>
        </w:rPr>
        <w:t>users</w:t>
      </w:r>
      <w:r w:rsidRPr="0059550D">
        <w:rPr>
          <w:lang w:val="en-IE"/>
        </w:rPr>
        <w:t xml:space="preserve"> </w:t>
      </w:r>
      <w:r>
        <w:rPr>
          <w:lang w:val="en-IE"/>
        </w:rPr>
        <w:t xml:space="preserve">all </w:t>
      </w:r>
      <w:r w:rsidRPr="0059550D">
        <w:rPr>
          <w:lang w:val="en-IE"/>
        </w:rPr>
        <w:t xml:space="preserve">have street addresses, without any exceptions (which is the case in many EU countries), </w:t>
      </w:r>
      <w:r w:rsidR="0019221B">
        <w:rPr>
          <w:lang w:val="en-IE"/>
        </w:rPr>
        <w:t xml:space="preserve">a business rule </w:t>
      </w:r>
      <w:r w:rsidR="00F37725">
        <w:rPr>
          <w:lang w:val="en-IE"/>
        </w:rPr>
        <w:t xml:space="preserve">may be added (when implementing the eForms) </w:t>
      </w:r>
      <w:r w:rsidR="0019221B">
        <w:rPr>
          <w:lang w:val="en-IE"/>
        </w:rPr>
        <w:t xml:space="preserve">specifying that </w:t>
      </w:r>
      <w:r w:rsidRPr="0059550D">
        <w:rPr>
          <w:lang w:val="en-IE"/>
        </w:rPr>
        <w:t xml:space="preserve">this field </w:t>
      </w:r>
      <w:r w:rsidR="0019221B">
        <w:rPr>
          <w:lang w:val="en-IE"/>
        </w:rPr>
        <w:t xml:space="preserve">must be included in every notice. </w:t>
      </w:r>
      <w:r w:rsidRPr="0059550D">
        <w:rPr>
          <w:lang w:val="en-IE"/>
        </w:rPr>
        <w:t xml:space="preserve">The same decision should </w:t>
      </w:r>
      <w:r w:rsidR="00960A11">
        <w:rPr>
          <w:lang w:val="en-IE"/>
        </w:rPr>
        <w:t xml:space="preserve">also </w:t>
      </w:r>
      <w:r w:rsidRPr="0059550D">
        <w:rPr>
          <w:lang w:val="en-IE"/>
        </w:rPr>
        <w:t xml:space="preserve">be made for </w:t>
      </w:r>
      <w:r w:rsidR="00F37725">
        <w:rPr>
          <w:lang w:val="en-IE"/>
        </w:rPr>
        <w:t>‘</w:t>
      </w:r>
      <w:r w:rsidR="00960A11" w:rsidRPr="00960A11">
        <w:rPr>
          <w:lang w:val="en-IE"/>
        </w:rPr>
        <w:t>Organisation Contact Telephone Number</w:t>
      </w:r>
      <w:r w:rsidR="00F37725">
        <w:rPr>
          <w:lang w:val="en-IE"/>
        </w:rPr>
        <w:t>’</w:t>
      </w:r>
      <w:r w:rsidR="00960A11" w:rsidRPr="00960A11">
        <w:rPr>
          <w:lang w:val="en-IE"/>
        </w:rPr>
        <w:t xml:space="preserve"> </w:t>
      </w:r>
      <w:r w:rsidR="00960A11">
        <w:rPr>
          <w:lang w:val="en-IE"/>
        </w:rPr>
        <w:t>and</w:t>
      </w:r>
      <w:r w:rsidR="00960A11" w:rsidRPr="00960A11">
        <w:rPr>
          <w:lang w:val="en-IE"/>
        </w:rPr>
        <w:t xml:space="preserve"> </w:t>
      </w:r>
      <w:r w:rsidR="00F37725">
        <w:rPr>
          <w:lang w:val="en-IE"/>
        </w:rPr>
        <w:lastRenderedPageBreak/>
        <w:t>‘</w:t>
      </w:r>
      <w:r w:rsidR="00960A11" w:rsidRPr="00960A11">
        <w:rPr>
          <w:lang w:val="en-IE"/>
        </w:rPr>
        <w:t>Organisation Internet Address</w:t>
      </w:r>
      <w:r w:rsidR="00F37725">
        <w:rPr>
          <w:lang w:val="en-IE"/>
        </w:rPr>
        <w:t>’,</w:t>
      </w:r>
      <w:r w:rsidR="00960A11" w:rsidRPr="00960A11">
        <w:rPr>
          <w:lang w:val="en-IE"/>
        </w:rPr>
        <w:t xml:space="preserve"> </w:t>
      </w:r>
      <w:r w:rsidR="00960A11">
        <w:rPr>
          <w:lang w:val="en-IE"/>
        </w:rPr>
        <w:t xml:space="preserve">even </w:t>
      </w:r>
      <w:r w:rsidRPr="0059550D">
        <w:rPr>
          <w:lang w:val="en-IE"/>
        </w:rPr>
        <w:t>though in most countries not all buyers would have this information</w:t>
      </w:r>
      <w:r w:rsidR="00960A11">
        <w:rPr>
          <w:rStyle w:val="FootnoteReference"/>
          <w:lang w:val="en-IE"/>
        </w:rPr>
        <w:footnoteReference w:id="55"/>
      </w:r>
      <w:r w:rsidRPr="0059550D">
        <w:rPr>
          <w:lang w:val="en-IE"/>
        </w:rPr>
        <w:t>.</w:t>
      </w:r>
    </w:p>
    <w:p w14:paraId="7C78CCA7" w14:textId="6A5FD9A9" w:rsidR="006C0132" w:rsidRDefault="006C0132" w:rsidP="0045303B">
      <w:pPr>
        <w:pStyle w:val="NoSpacing"/>
        <w:rPr>
          <w:lang w:val="en-IE"/>
        </w:rPr>
      </w:pPr>
    </w:p>
    <w:p w14:paraId="41D92FA6" w14:textId="3D373E4A" w:rsidR="00A52974" w:rsidRPr="0059550D" w:rsidRDefault="00533E5C" w:rsidP="001E4A8D">
      <w:pPr>
        <w:pStyle w:val="NoSpacing"/>
        <w:rPr>
          <w:lang w:val="en-IE"/>
        </w:rPr>
      </w:pPr>
      <w:r w:rsidRPr="0059550D">
        <w:rPr>
          <w:lang w:val="en-IE"/>
        </w:rPr>
        <w:t xml:space="preserve">Finally, additional business rules may be required as a complement to certain tailored fields and codelists discussed </w:t>
      </w:r>
      <w:r w:rsidR="00B10310" w:rsidRPr="0059550D">
        <w:rPr>
          <w:lang w:val="en-IE"/>
        </w:rPr>
        <w:t>above</w:t>
      </w:r>
      <w:r w:rsidR="00047A95">
        <w:rPr>
          <w:rStyle w:val="FootnoteReference"/>
          <w:lang w:val="en-IE"/>
        </w:rPr>
        <w:footnoteReference w:id="56"/>
      </w:r>
      <w:r w:rsidR="001E4A8D" w:rsidRPr="0059550D">
        <w:rPr>
          <w:lang w:val="en-IE"/>
        </w:rPr>
        <w:t xml:space="preserve">. </w:t>
      </w:r>
      <w:r w:rsidR="00B10310" w:rsidRPr="0059550D">
        <w:rPr>
          <w:lang w:val="en-IE"/>
        </w:rPr>
        <w:t>However, if these are required as m</w:t>
      </w:r>
      <w:r w:rsidR="001E4A8D" w:rsidRPr="0059550D">
        <w:rPr>
          <w:lang w:val="en-IE"/>
        </w:rPr>
        <w:t xml:space="preserve">andatory only </w:t>
      </w:r>
      <w:r w:rsidR="00B10310" w:rsidRPr="0059550D">
        <w:rPr>
          <w:lang w:val="en-IE"/>
        </w:rPr>
        <w:t xml:space="preserve">for specific </w:t>
      </w:r>
      <w:r w:rsidR="001E4A8D" w:rsidRPr="0059550D">
        <w:rPr>
          <w:lang w:val="en-IE"/>
        </w:rPr>
        <w:t xml:space="preserve">Organisation Type </w:t>
      </w:r>
      <w:r w:rsidR="00B10310" w:rsidRPr="0059550D">
        <w:rPr>
          <w:lang w:val="en-IE"/>
        </w:rPr>
        <w:t xml:space="preserve">(e.g. buyers must submit their internet address, but </w:t>
      </w:r>
      <w:r w:rsidR="00706C6A">
        <w:rPr>
          <w:lang w:val="en-IE"/>
        </w:rPr>
        <w:t>economic operator</w:t>
      </w:r>
      <w:r w:rsidR="00B10310" w:rsidRPr="0059550D">
        <w:rPr>
          <w:lang w:val="en-IE"/>
        </w:rPr>
        <w:t>s do not), then this require</w:t>
      </w:r>
      <w:r w:rsidR="00637E40">
        <w:rPr>
          <w:lang w:val="en-IE"/>
        </w:rPr>
        <w:t>s</w:t>
      </w:r>
      <w:r w:rsidR="00B10310" w:rsidRPr="0059550D">
        <w:rPr>
          <w:lang w:val="en-IE"/>
        </w:rPr>
        <w:t xml:space="preserve"> tailoring business rules.</w:t>
      </w:r>
    </w:p>
    <w:p w14:paraId="2CD84FE4" w14:textId="116AD462" w:rsidR="00F06A92" w:rsidRPr="0059550D" w:rsidRDefault="00F06A92" w:rsidP="00F06A92">
      <w:pPr>
        <w:pStyle w:val="Heading2"/>
        <w:rPr>
          <w:lang w:val="en-IE"/>
        </w:rPr>
      </w:pPr>
      <w:bookmarkStart w:id="61" w:name="_Toc25684095"/>
      <w:r w:rsidRPr="0059550D">
        <w:rPr>
          <w:lang w:val="en-IE"/>
        </w:rPr>
        <w:t>Tailoring labels</w:t>
      </w:r>
      <w:bookmarkEnd w:id="61"/>
    </w:p>
    <w:p w14:paraId="206749E3" w14:textId="138FA1B2" w:rsidR="00F06A92" w:rsidRPr="0059550D" w:rsidRDefault="00F06A92" w:rsidP="00214E3A">
      <w:pPr>
        <w:pStyle w:val="NoSpacing"/>
        <w:rPr>
          <w:lang w:val="en-IE"/>
        </w:rPr>
      </w:pPr>
    </w:p>
    <w:p w14:paraId="5A53016D" w14:textId="4A1C9ACE" w:rsidR="003F611C" w:rsidRPr="0059550D" w:rsidRDefault="003F611C" w:rsidP="00214E3A">
      <w:pPr>
        <w:pStyle w:val="NoSpacing"/>
        <w:rPr>
          <w:lang w:val="en-IE"/>
        </w:rPr>
      </w:pPr>
      <w:r w:rsidRPr="0059550D">
        <w:rPr>
          <w:lang w:val="en-IE"/>
        </w:rPr>
        <w:t xml:space="preserve">Labels are the texts used in user interfaces for manually filled fields. They are based on </w:t>
      </w:r>
      <w:r w:rsidR="008E64D9" w:rsidRPr="0059550D">
        <w:rPr>
          <w:lang w:val="en-IE"/>
        </w:rPr>
        <w:t xml:space="preserve">simplified </w:t>
      </w:r>
      <w:r w:rsidRPr="0059550D">
        <w:rPr>
          <w:lang w:val="en-IE"/>
        </w:rPr>
        <w:t xml:space="preserve">eForms descriptions </w:t>
      </w:r>
      <w:r w:rsidR="008E64D9" w:rsidRPr="0059550D">
        <w:rPr>
          <w:lang w:val="en-IE"/>
        </w:rPr>
        <w:t>(parts of the descriptions appear as tooltips)</w:t>
      </w:r>
      <w:r w:rsidR="006128C8">
        <w:rPr>
          <w:lang w:val="en-IE"/>
        </w:rPr>
        <w:t>.</w:t>
      </w:r>
      <w:r w:rsidR="008E64D9" w:rsidRPr="0059550D">
        <w:rPr>
          <w:lang w:val="en-IE"/>
        </w:rPr>
        <w:t xml:space="preserve"> </w:t>
      </w:r>
      <w:r w:rsidR="006128C8">
        <w:rPr>
          <w:lang w:val="en-IE"/>
        </w:rPr>
        <w:t>T</w:t>
      </w:r>
      <w:r w:rsidRPr="0059550D">
        <w:rPr>
          <w:lang w:val="en-IE"/>
        </w:rPr>
        <w:t xml:space="preserve">he Publications Office of the EU </w:t>
      </w:r>
      <w:r w:rsidR="009D1549">
        <w:rPr>
          <w:lang w:val="en-IE"/>
        </w:rPr>
        <w:t xml:space="preserve">will </w:t>
      </w:r>
      <w:r w:rsidRPr="0059550D">
        <w:rPr>
          <w:lang w:val="en-IE"/>
        </w:rPr>
        <w:t>offer default set of labels</w:t>
      </w:r>
      <w:r w:rsidR="008E64D9" w:rsidRPr="0059550D">
        <w:rPr>
          <w:lang w:val="en-IE"/>
        </w:rPr>
        <w:t xml:space="preserve"> in all </w:t>
      </w:r>
      <w:r w:rsidR="006714CD">
        <w:rPr>
          <w:lang w:val="en-IE"/>
        </w:rPr>
        <w:t xml:space="preserve">EU official </w:t>
      </w:r>
      <w:r w:rsidR="008E64D9" w:rsidRPr="0059550D">
        <w:rPr>
          <w:lang w:val="en-IE"/>
        </w:rPr>
        <w:t>languages</w:t>
      </w:r>
      <w:r w:rsidRPr="0059550D">
        <w:rPr>
          <w:lang w:val="en-IE"/>
        </w:rPr>
        <w:t>, used in the eNotices</w:t>
      </w:r>
      <w:r w:rsidR="004F3EE9">
        <w:rPr>
          <w:lang w:val="en-IE"/>
        </w:rPr>
        <w:t>2</w:t>
      </w:r>
      <w:r w:rsidRPr="0059550D">
        <w:rPr>
          <w:lang w:val="en-IE"/>
        </w:rPr>
        <w:t xml:space="preserve"> software application</w:t>
      </w:r>
      <w:r w:rsidR="00E134DC">
        <w:rPr>
          <w:lang w:val="en-IE"/>
        </w:rPr>
        <w:t xml:space="preserve"> </w:t>
      </w:r>
      <w:r w:rsidR="00E175E0">
        <w:rPr>
          <w:lang w:val="en-IE"/>
        </w:rPr>
        <w:t xml:space="preserve"> and in the TED website</w:t>
      </w:r>
      <w:r w:rsidR="00F763E2">
        <w:rPr>
          <w:lang w:val="en-IE"/>
        </w:rPr>
        <w:t>.</w:t>
      </w:r>
      <w:r w:rsidRPr="0059550D">
        <w:rPr>
          <w:lang w:val="en-IE"/>
        </w:rPr>
        <w:t xml:space="preserve"> </w:t>
      </w:r>
    </w:p>
    <w:p w14:paraId="0AEB3FF6" w14:textId="77777777" w:rsidR="003F611C" w:rsidRPr="0059550D" w:rsidRDefault="003F611C" w:rsidP="00214E3A">
      <w:pPr>
        <w:pStyle w:val="NoSpacing"/>
        <w:rPr>
          <w:lang w:val="en-IE"/>
        </w:rPr>
      </w:pPr>
    </w:p>
    <w:p w14:paraId="1C5E8DB7" w14:textId="77777777" w:rsidR="000C1487" w:rsidRDefault="00BF6835" w:rsidP="000C1487">
      <w:pPr>
        <w:pStyle w:val="NoSpacing"/>
        <w:rPr>
          <w:lang w:val="en-IE"/>
        </w:rPr>
      </w:pPr>
      <w:r w:rsidRPr="0059550D">
        <w:rPr>
          <w:lang w:val="en-IE"/>
        </w:rPr>
        <w:t xml:space="preserve">However, </w:t>
      </w:r>
      <w:r w:rsidR="00755B05" w:rsidRPr="0059550D">
        <w:rPr>
          <w:lang w:val="en-IE"/>
        </w:rPr>
        <w:t xml:space="preserve">designers can make procurement </w:t>
      </w:r>
      <w:r w:rsidRPr="0059550D">
        <w:rPr>
          <w:lang w:val="en-IE"/>
        </w:rPr>
        <w:t xml:space="preserve">systems more user-friendly by tailoring labels further. </w:t>
      </w:r>
      <w:r w:rsidR="00755B05" w:rsidRPr="0059550D">
        <w:rPr>
          <w:lang w:val="en-IE"/>
        </w:rPr>
        <w:t xml:space="preserve">For example, labels </w:t>
      </w:r>
      <w:r w:rsidR="00A54996" w:rsidRPr="0059550D">
        <w:rPr>
          <w:lang w:val="en-IE"/>
        </w:rPr>
        <w:t>can be tailored based on users (</w:t>
      </w:r>
      <w:r w:rsidR="00D72BE4" w:rsidRPr="0059550D">
        <w:rPr>
          <w:lang w:val="en-IE"/>
        </w:rPr>
        <w:t xml:space="preserve">e.g. professional procurers may prefer legal terminology, SMEs and occasional procurers may prefer </w:t>
      </w:r>
      <w:r w:rsidR="006128C8">
        <w:rPr>
          <w:lang w:val="en-IE"/>
        </w:rPr>
        <w:t>more user-friendly</w:t>
      </w:r>
      <w:r w:rsidR="006128C8" w:rsidRPr="0059550D">
        <w:rPr>
          <w:lang w:val="en-IE"/>
        </w:rPr>
        <w:t xml:space="preserve"> </w:t>
      </w:r>
      <w:r w:rsidR="00D72BE4" w:rsidRPr="0059550D">
        <w:rPr>
          <w:lang w:val="en-IE"/>
        </w:rPr>
        <w:t xml:space="preserve">terminology), </w:t>
      </w:r>
      <w:r w:rsidR="00A54996" w:rsidRPr="0059550D">
        <w:rPr>
          <w:lang w:val="en-IE"/>
        </w:rPr>
        <w:t>the system (e.g. form-filling vs. form-displaying)</w:t>
      </w:r>
      <w:r w:rsidR="00D72BE4" w:rsidRPr="0059550D">
        <w:rPr>
          <w:lang w:val="en-IE"/>
        </w:rPr>
        <w:t xml:space="preserve">, etc. </w:t>
      </w:r>
      <w:r w:rsidR="000C1487">
        <w:rPr>
          <w:lang w:val="en-IE"/>
        </w:rPr>
        <w:t xml:space="preserve"> </w:t>
      </w:r>
    </w:p>
    <w:p w14:paraId="35C87443" w14:textId="77777777" w:rsidR="000C1487" w:rsidRDefault="000C1487" w:rsidP="000C1487">
      <w:pPr>
        <w:pStyle w:val="NoSpacing"/>
        <w:rPr>
          <w:lang w:val="en-IE"/>
        </w:rPr>
      </w:pPr>
    </w:p>
    <w:p w14:paraId="3EBFF888" w14:textId="43C80B6F" w:rsidR="000C1487" w:rsidRPr="000C1487" w:rsidRDefault="000C1487" w:rsidP="00EB186D">
      <w:pPr>
        <w:pStyle w:val="NoSpacing"/>
        <w:spacing w:after="120"/>
        <w:rPr>
          <w:lang w:val="en-IE"/>
        </w:rPr>
      </w:pPr>
      <w:r w:rsidRPr="000C1487">
        <w:rPr>
          <w:lang w:val="en-IE"/>
        </w:rPr>
        <w:t xml:space="preserve">There </w:t>
      </w:r>
      <w:r>
        <w:rPr>
          <w:lang w:val="en-IE"/>
        </w:rPr>
        <w:t>can also be</w:t>
      </w:r>
      <w:r w:rsidRPr="000C1487">
        <w:rPr>
          <w:lang w:val="en-IE"/>
        </w:rPr>
        <w:t xml:space="preserve"> dynamic labels</w:t>
      </w:r>
      <w:r>
        <w:rPr>
          <w:lang w:val="en-IE"/>
        </w:rPr>
        <w:t>, which are of two types:</w:t>
      </w:r>
    </w:p>
    <w:p w14:paraId="60E013F9" w14:textId="63DE7EB2" w:rsidR="000C1487" w:rsidRPr="000C1487" w:rsidRDefault="000C1487" w:rsidP="00EB186D">
      <w:pPr>
        <w:pStyle w:val="NoSpacing"/>
        <w:numPr>
          <w:ilvl w:val="0"/>
          <w:numId w:val="28"/>
        </w:numPr>
        <w:rPr>
          <w:lang w:val="en-IE"/>
        </w:rPr>
      </w:pPr>
      <w:r>
        <w:rPr>
          <w:lang w:val="en-IE"/>
        </w:rPr>
        <w:t>T</w:t>
      </w:r>
      <w:r w:rsidRPr="000C1487">
        <w:rPr>
          <w:lang w:val="en-IE"/>
        </w:rPr>
        <w:t>erminological</w:t>
      </w:r>
      <w:r>
        <w:rPr>
          <w:lang w:val="en-IE"/>
        </w:rPr>
        <w:t>:</w:t>
      </w:r>
      <w:r w:rsidRPr="000C1487">
        <w:rPr>
          <w:lang w:val="en-IE"/>
        </w:rPr>
        <w:t xml:space="preserve"> the main ones are those mentioned in</w:t>
      </w:r>
      <w:r>
        <w:rPr>
          <w:lang w:val="en-IE"/>
        </w:rPr>
        <w:t xml:space="preserve"> the Annex of the Implementing R</w:t>
      </w:r>
      <w:r w:rsidRPr="000C1487">
        <w:rPr>
          <w:lang w:val="en-IE"/>
        </w:rPr>
        <w:t>egulation. Additionally, depending on the Directive, a PIN is either a “prior information notice” or a “periodic indicative notice”; a “competitive procedure” can also be a “negotiated procedure with competition”. Finally, some are mentioned in the text of the description in eForms (e.g. the “or other results” text mentioned in several result fields).</w:t>
      </w:r>
    </w:p>
    <w:p w14:paraId="727ABAA6" w14:textId="6B4DD10C" w:rsidR="000C1487" w:rsidRPr="000C1487" w:rsidRDefault="000C1487" w:rsidP="00E175E0">
      <w:pPr>
        <w:pStyle w:val="NoSpacing"/>
        <w:numPr>
          <w:ilvl w:val="0"/>
          <w:numId w:val="28"/>
        </w:numPr>
        <w:rPr>
          <w:lang w:val="en-IE"/>
        </w:rPr>
      </w:pPr>
      <w:r>
        <w:rPr>
          <w:lang w:val="en-IE"/>
        </w:rPr>
        <w:t>Temporal:</w:t>
      </w:r>
      <w:r w:rsidRPr="000C1487">
        <w:rPr>
          <w:lang w:val="en-IE"/>
        </w:rPr>
        <w:t xml:space="preserve"> these should </w:t>
      </w:r>
      <w:r>
        <w:rPr>
          <w:lang w:val="en-IE"/>
        </w:rPr>
        <w:t>be</w:t>
      </w:r>
      <w:r w:rsidRPr="000C1487">
        <w:rPr>
          <w:lang w:val="en-IE"/>
        </w:rPr>
        <w:t xml:space="preserve"> </w:t>
      </w:r>
      <w:r>
        <w:rPr>
          <w:lang w:val="en-IE"/>
        </w:rPr>
        <w:t>included</w:t>
      </w:r>
      <w:r w:rsidRPr="000C1487">
        <w:rPr>
          <w:lang w:val="en-IE"/>
        </w:rPr>
        <w:t xml:space="preserve"> into the backlog. </w:t>
      </w:r>
      <w:r w:rsidR="00E175E0" w:rsidRPr="00E175E0">
        <w:rPr>
          <w:lang w:val="en-IE"/>
        </w:rPr>
        <w:t>For example, in a Competition form, a label may be “This procurement will establish a framework agreement”, while in a Result form, it would be “This procurement established a framework agreement”. This is a detail, but if there is a “conditional label” feature anyway, it might be worth implementing. Otherwise, regardless of type, notice will be marked with a time-neutral label such as “This procurement establishes a framework agreement.”</w:t>
      </w:r>
    </w:p>
    <w:p w14:paraId="7580E6CB" w14:textId="0EBDA639" w:rsidR="00F06A92" w:rsidRPr="0059550D" w:rsidRDefault="000C1487" w:rsidP="00214E3A">
      <w:pPr>
        <w:pStyle w:val="NoSpacing"/>
        <w:rPr>
          <w:lang w:val="en-IE"/>
        </w:rPr>
      </w:pPr>
      <w:r w:rsidRPr="000C1487">
        <w:rPr>
          <w:lang w:val="en-IE"/>
        </w:rPr>
        <w:t xml:space="preserve"> </w:t>
      </w:r>
    </w:p>
    <w:p w14:paraId="44B86C40" w14:textId="1CB192A3" w:rsidR="00A52974" w:rsidRPr="0059550D" w:rsidRDefault="00A52974">
      <w:pPr>
        <w:spacing w:after="200" w:line="276" w:lineRule="auto"/>
        <w:rPr>
          <w:lang w:val="en-IE"/>
        </w:rPr>
      </w:pPr>
      <w:r w:rsidRPr="0059550D">
        <w:rPr>
          <w:lang w:val="en-IE"/>
        </w:rPr>
        <w:br w:type="page"/>
      </w:r>
    </w:p>
    <w:p w14:paraId="5410C3F3" w14:textId="77777777" w:rsidR="00760E39" w:rsidRPr="0059550D" w:rsidRDefault="00760E39" w:rsidP="00760E39">
      <w:pPr>
        <w:pStyle w:val="Heading1"/>
        <w:rPr>
          <w:rFonts w:eastAsia="Times New Roman"/>
          <w:lang w:val="en-IE"/>
        </w:rPr>
      </w:pPr>
      <w:bookmarkStart w:id="62" w:name="_Toc25684096"/>
      <w:r w:rsidRPr="0059550D">
        <w:rPr>
          <w:rFonts w:eastAsia="Times New Roman"/>
          <w:lang w:val="en-IE"/>
        </w:rPr>
        <w:lastRenderedPageBreak/>
        <w:t>Implementing eForms</w:t>
      </w:r>
      <w:bookmarkEnd w:id="62"/>
    </w:p>
    <w:p w14:paraId="223A3618" w14:textId="77777777" w:rsidR="00760E39" w:rsidRPr="0059550D" w:rsidRDefault="00760E39" w:rsidP="00760E39">
      <w:pPr>
        <w:pStyle w:val="NoSpacing"/>
        <w:rPr>
          <w:lang w:val="en-IE"/>
        </w:rPr>
      </w:pPr>
    </w:p>
    <w:p w14:paraId="2E39F104" w14:textId="4F764A39" w:rsidR="00760E39" w:rsidRPr="0059550D" w:rsidRDefault="00760E39" w:rsidP="00760E39">
      <w:pPr>
        <w:pStyle w:val="NoSpacing"/>
        <w:rPr>
          <w:lang w:val="en-IE"/>
        </w:rPr>
      </w:pPr>
      <w:r w:rsidRPr="0059550D">
        <w:rPr>
          <w:lang w:val="en-IE"/>
        </w:rPr>
        <w:t xml:space="preserve">Once eForms have been tailored, decision-makers must decide how to implement </w:t>
      </w:r>
      <w:r>
        <w:rPr>
          <w:lang w:val="en-IE"/>
        </w:rPr>
        <w:t>them</w:t>
      </w:r>
      <w:r w:rsidRPr="0059550D">
        <w:rPr>
          <w:lang w:val="en-IE"/>
        </w:rPr>
        <w:t xml:space="preserve">, i.e. how to build the relevant IT system(s). The most important functionality that every buyer needs is </w:t>
      </w:r>
      <w:r w:rsidR="00C95C3C">
        <w:rPr>
          <w:lang w:val="en-IE"/>
        </w:rPr>
        <w:t xml:space="preserve">creating and </w:t>
      </w:r>
      <w:r w:rsidRPr="0059550D">
        <w:rPr>
          <w:lang w:val="en-IE"/>
        </w:rPr>
        <w:t>sending notices for publication to TED</w:t>
      </w:r>
      <w:r w:rsidR="00F10A26">
        <w:rPr>
          <w:lang w:val="en-IE"/>
        </w:rPr>
        <w:t xml:space="preserve"> and to national systems</w:t>
      </w:r>
      <w:r w:rsidRPr="000C1A20">
        <w:rPr>
          <w:lang w:val="en-IE"/>
        </w:rPr>
        <w:t>.</w:t>
      </w:r>
      <w:r w:rsidRPr="0059550D">
        <w:rPr>
          <w:lang w:val="en-IE"/>
        </w:rPr>
        <w:t xml:space="preserve"> Additionally, EU countries may want to publish notices themselves. We discuss these functionalities in sections</w:t>
      </w:r>
      <w:r w:rsidR="00E134DC">
        <w:rPr>
          <w:lang w:val="en-IE"/>
        </w:rPr>
        <w:t xml:space="preserve"> 4.1 and 4.2.</w:t>
      </w:r>
    </w:p>
    <w:p w14:paraId="7FDFE610" w14:textId="77777777" w:rsidR="00760E39" w:rsidRPr="0059550D" w:rsidRDefault="00760E39" w:rsidP="00760E39">
      <w:pPr>
        <w:pStyle w:val="NoSpacing"/>
        <w:rPr>
          <w:lang w:val="en-IE"/>
        </w:rPr>
      </w:pPr>
    </w:p>
    <w:p w14:paraId="4B89FC2E" w14:textId="668F36EC" w:rsidR="00760E39" w:rsidRPr="0059550D" w:rsidRDefault="00760E39" w:rsidP="00760E39">
      <w:pPr>
        <w:pStyle w:val="NoSpacing"/>
        <w:rPr>
          <w:lang w:val="en-IE"/>
        </w:rPr>
      </w:pPr>
      <w:r w:rsidRPr="0059550D">
        <w:rPr>
          <w:lang w:val="en-IE"/>
        </w:rPr>
        <w:t xml:space="preserve">Today, EU countries approach these two functions in many different ways. The main </w:t>
      </w:r>
      <w:r>
        <w:rPr>
          <w:lang w:val="en-IE"/>
        </w:rPr>
        <w:t xml:space="preserve">variation lies in </w:t>
      </w:r>
      <w:r w:rsidRPr="0059550D">
        <w:rPr>
          <w:lang w:val="en-IE"/>
        </w:rPr>
        <w:t>different degree</w:t>
      </w:r>
      <w:r>
        <w:rPr>
          <w:lang w:val="en-IE"/>
        </w:rPr>
        <w:t>s</w:t>
      </w:r>
      <w:r w:rsidRPr="0059550D">
        <w:rPr>
          <w:lang w:val="en-IE"/>
        </w:rPr>
        <w:t xml:space="preserve"> of involvement of the public sector and in </w:t>
      </w:r>
      <w:r>
        <w:rPr>
          <w:lang w:val="en-IE"/>
        </w:rPr>
        <w:t xml:space="preserve">regulating </w:t>
      </w:r>
      <w:r w:rsidRPr="0059550D">
        <w:rPr>
          <w:lang w:val="en-IE"/>
        </w:rPr>
        <w:t xml:space="preserve">the number of providers. Implementing eForms </w:t>
      </w:r>
      <w:r w:rsidR="00F763E2">
        <w:rPr>
          <w:lang w:val="en-IE"/>
        </w:rPr>
        <w:t xml:space="preserve">is </w:t>
      </w:r>
      <w:r>
        <w:rPr>
          <w:lang w:val="en-IE"/>
        </w:rPr>
        <w:t xml:space="preserve">an </w:t>
      </w:r>
      <w:r w:rsidRPr="0059550D">
        <w:rPr>
          <w:lang w:val="en-IE"/>
        </w:rPr>
        <w:t xml:space="preserve">opportunity to re-consider </w:t>
      </w:r>
      <w:r>
        <w:rPr>
          <w:lang w:val="en-IE"/>
        </w:rPr>
        <w:t xml:space="preserve">some of these </w:t>
      </w:r>
      <w:r w:rsidRPr="0059550D">
        <w:rPr>
          <w:lang w:val="en-IE"/>
        </w:rPr>
        <w:t xml:space="preserve">approaches. </w:t>
      </w:r>
      <w:r>
        <w:rPr>
          <w:lang w:val="en-IE"/>
        </w:rPr>
        <w:t xml:space="preserve">We discuss these topics in </w:t>
      </w:r>
      <w:r w:rsidRPr="0059550D">
        <w:rPr>
          <w:lang w:val="en-IE"/>
        </w:rPr>
        <w:t>section</w:t>
      </w:r>
      <w:r w:rsidR="00E134DC">
        <w:rPr>
          <w:lang w:val="en-IE"/>
        </w:rPr>
        <w:t xml:space="preserve"> 4.3.</w:t>
      </w:r>
      <w:r>
        <w:rPr>
          <w:lang w:val="en-IE"/>
        </w:rPr>
        <w:t xml:space="preserve"> Finally, </w:t>
      </w:r>
      <w:r w:rsidRPr="0059550D">
        <w:rPr>
          <w:lang w:val="en-IE"/>
        </w:rPr>
        <w:t>section 4.4</w:t>
      </w:r>
      <w:r>
        <w:rPr>
          <w:lang w:val="en-IE"/>
        </w:rPr>
        <w:t xml:space="preserve"> discusse</w:t>
      </w:r>
      <w:r w:rsidR="00E134DC">
        <w:rPr>
          <w:lang w:val="en-IE"/>
        </w:rPr>
        <w:t>s</w:t>
      </w:r>
      <w:r>
        <w:rPr>
          <w:lang w:val="en-IE"/>
        </w:rPr>
        <w:t xml:space="preserve"> questions around government-provided solutions.</w:t>
      </w:r>
    </w:p>
    <w:p w14:paraId="079C6108" w14:textId="704F8CAE" w:rsidR="00760E39" w:rsidRPr="0059550D" w:rsidRDefault="00C95C3C" w:rsidP="00760E39">
      <w:pPr>
        <w:pStyle w:val="Heading2"/>
        <w:rPr>
          <w:lang w:val="en-IE"/>
        </w:rPr>
      </w:pPr>
      <w:bookmarkStart w:id="63" w:name="_Toc25684097"/>
      <w:r>
        <w:rPr>
          <w:lang w:val="en-IE"/>
        </w:rPr>
        <w:t>Creating</w:t>
      </w:r>
      <w:r w:rsidR="00FD0EB7">
        <w:rPr>
          <w:lang w:val="en-IE"/>
        </w:rPr>
        <w:t xml:space="preserve"> and sending</w:t>
      </w:r>
      <w:r w:rsidRPr="0059550D">
        <w:rPr>
          <w:lang w:val="en-IE"/>
        </w:rPr>
        <w:t xml:space="preserve"> </w:t>
      </w:r>
      <w:r w:rsidR="00760E39" w:rsidRPr="0059550D">
        <w:rPr>
          <w:lang w:val="en-IE"/>
        </w:rPr>
        <w:t>(prefilled) notices</w:t>
      </w:r>
      <w:bookmarkEnd w:id="63"/>
    </w:p>
    <w:p w14:paraId="15432E1A" w14:textId="77777777" w:rsidR="00760E39" w:rsidRPr="0059550D" w:rsidRDefault="00760E39" w:rsidP="00760E39">
      <w:pPr>
        <w:pStyle w:val="NoSpacing"/>
        <w:rPr>
          <w:lang w:val="en-IE"/>
        </w:rPr>
      </w:pPr>
    </w:p>
    <w:p w14:paraId="375930E2" w14:textId="36D4E081" w:rsidR="00FD0EB7" w:rsidRDefault="00760E39" w:rsidP="00760E39">
      <w:pPr>
        <w:pStyle w:val="NoSpacing"/>
        <w:rPr>
          <w:lang w:val="en-IE"/>
        </w:rPr>
      </w:pPr>
      <w:r w:rsidRPr="0059550D">
        <w:rPr>
          <w:lang w:val="en-IE"/>
        </w:rPr>
        <w:t>The most important feature</w:t>
      </w:r>
      <w:r>
        <w:rPr>
          <w:lang w:val="en-IE"/>
        </w:rPr>
        <w:t>s</w:t>
      </w:r>
      <w:r w:rsidRPr="0059550D">
        <w:rPr>
          <w:lang w:val="en-IE"/>
        </w:rPr>
        <w:t xml:space="preserve"> </w:t>
      </w:r>
      <w:r>
        <w:rPr>
          <w:lang w:val="en-IE"/>
        </w:rPr>
        <w:t xml:space="preserve">buyers </w:t>
      </w:r>
      <w:r w:rsidRPr="0059550D">
        <w:rPr>
          <w:lang w:val="en-IE"/>
        </w:rPr>
        <w:t>need is the ability to</w:t>
      </w:r>
      <w:r w:rsidR="00FD0EB7">
        <w:rPr>
          <w:lang w:val="en-IE"/>
        </w:rPr>
        <w:t xml:space="preserve"> create and</w:t>
      </w:r>
      <w:r w:rsidRPr="0059550D">
        <w:rPr>
          <w:lang w:val="en-IE"/>
        </w:rPr>
        <w:t xml:space="preserve"> send procurement notices. Historically, </w:t>
      </w:r>
      <w:r>
        <w:rPr>
          <w:lang w:val="en-IE"/>
        </w:rPr>
        <w:t xml:space="preserve">buyers filled in </w:t>
      </w:r>
      <w:r w:rsidRPr="0059550D">
        <w:rPr>
          <w:lang w:val="en-IE"/>
        </w:rPr>
        <w:t xml:space="preserve">notices manually. However, this has two major disadvantages: administrative burden and </w:t>
      </w:r>
      <w:r>
        <w:rPr>
          <w:lang w:val="en-IE"/>
        </w:rPr>
        <w:t>lower data quality, which leads to lower data usefulness</w:t>
      </w:r>
      <w:r w:rsidRPr="0059550D">
        <w:rPr>
          <w:lang w:val="en-IE"/>
        </w:rPr>
        <w:t xml:space="preserve">. </w:t>
      </w:r>
    </w:p>
    <w:p w14:paraId="072361BA" w14:textId="77777777" w:rsidR="00FD0EB7" w:rsidRDefault="00FD0EB7" w:rsidP="00760E39">
      <w:pPr>
        <w:pStyle w:val="NoSpacing"/>
        <w:rPr>
          <w:lang w:val="en-IE"/>
        </w:rPr>
      </w:pPr>
    </w:p>
    <w:p w14:paraId="7368D86F" w14:textId="398D0146" w:rsidR="00FD0EB7" w:rsidRDefault="00FD0EB7" w:rsidP="00760E39">
      <w:pPr>
        <w:pStyle w:val="NoSpacing"/>
        <w:rPr>
          <w:lang w:val="en-IE"/>
        </w:rPr>
      </w:pPr>
      <w:r w:rsidRPr="00FD0EB7">
        <w:rPr>
          <w:lang w:val="en-IE"/>
        </w:rPr>
        <w:t>In general, the goal of eForms is to eliminate administrative burden, not just transfer it. For example, if information about the contractor comes from structured data being submitted by a tenderer, then the administrative burden has only been transferred from buyer to tenderer. On the other hand, if the data is prefilled automatically from a business register on the basis of an identifier, then the administrative burden is truly eliminated.</w:t>
      </w:r>
    </w:p>
    <w:p w14:paraId="7176BA2F" w14:textId="77777777" w:rsidR="00FD0EB7" w:rsidRDefault="00FD0EB7" w:rsidP="00760E39">
      <w:pPr>
        <w:pStyle w:val="NoSpacing"/>
        <w:rPr>
          <w:lang w:val="en-IE"/>
        </w:rPr>
      </w:pPr>
    </w:p>
    <w:p w14:paraId="4D4C45C8" w14:textId="7BB7FFCE" w:rsidR="00760E39" w:rsidRPr="0059550D" w:rsidRDefault="00760E39" w:rsidP="00760E39">
      <w:pPr>
        <w:pStyle w:val="NoSpacing"/>
        <w:rPr>
          <w:lang w:val="en-IE"/>
        </w:rPr>
      </w:pPr>
      <w:r w:rsidRPr="0059550D">
        <w:rPr>
          <w:lang w:val="en-IE"/>
        </w:rPr>
        <w:t xml:space="preserve">eForms are designed to allow </w:t>
      </w:r>
      <w:r>
        <w:rPr>
          <w:lang w:val="en-IE"/>
        </w:rPr>
        <w:t>prefill</w:t>
      </w:r>
      <w:r w:rsidR="00FD0EB7">
        <w:rPr>
          <w:lang w:val="en-IE"/>
        </w:rPr>
        <w:t>ing</w:t>
      </w:r>
      <w:r w:rsidRPr="0059550D">
        <w:rPr>
          <w:lang w:val="en-IE"/>
        </w:rPr>
        <w:t xml:space="preserve"> as much data as possible</w:t>
      </w:r>
      <w:r>
        <w:rPr>
          <w:lang w:val="en-IE"/>
        </w:rPr>
        <w:t xml:space="preserve"> automatically</w:t>
      </w:r>
      <w:r>
        <w:rPr>
          <w:rStyle w:val="FootnoteReference"/>
          <w:lang w:val="en-IE"/>
        </w:rPr>
        <w:footnoteReference w:id="57"/>
      </w:r>
      <w:r w:rsidRPr="0059550D">
        <w:rPr>
          <w:lang w:val="en-IE"/>
        </w:rPr>
        <w:t xml:space="preserve">. This is </w:t>
      </w:r>
      <w:r>
        <w:rPr>
          <w:lang w:val="en-IE"/>
        </w:rPr>
        <w:t xml:space="preserve">an appropriate approach, </w:t>
      </w:r>
      <w:r w:rsidRPr="0059550D">
        <w:rPr>
          <w:lang w:val="en-IE"/>
        </w:rPr>
        <w:t>because the forms’ function is</w:t>
      </w:r>
      <w:r>
        <w:rPr>
          <w:lang w:val="en-IE"/>
        </w:rPr>
        <w:t xml:space="preserve"> </w:t>
      </w:r>
      <w:r w:rsidRPr="0059550D">
        <w:rPr>
          <w:lang w:val="en-IE"/>
        </w:rPr>
        <w:t xml:space="preserve">to summarize existing information about the procurement process. </w:t>
      </w:r>
    </w:p>
    <w:p w14:paraId="021DD530" w14:textId="77777777" w:rsidR="00760E39" w:rsidRPr="0059550D" w:rsidRDefault="00760E39" w:rsidP="00760E39">
      <w:pPr>
        <w:pStyle w:val="NoSpacing"/>
        <w:rPr>
          <w:lang w:val="en-IE"/>
        </w:rPr>
      </w:pPr>
    </w:p>
    <w:p w14:paraId="4D884982" w14:textId="77777777" w:rsidR="00760E39" w:rsidRPr="0059550D" w:rsidRDefault="00760E39" w:rsidP="00760E39">
      <w:pPr>
        <w:pStyle w:val="NoSpacing"/>
        <w:rPr>
          <w:lang w:val="en-IE"/>
        </w:rPr>
      </w:pPr>
      <w:r w:rsidRPr="0059550D">
        <w:rPr>
          <w:lang w:val="en-IE"/>
        </w:rPr>
        <w:t>When setting up pre-filling functionalities, several design questions need to be addressed:</w:t>
      </w:r>
    </w:p>
    <w:p w14:paraId="0078ED7B" w14:textId="77777777" w:rsidR="00760E39" w:rsidRDefault="00760E39" w:rsidP="00760E39">
      <w:pPr>
        <w:pStyle w:val="NoSpacing"/>
        <w:numPr>
          <w:ilvl w:val="0"/>
          <w:numId w:val="26"/>
        </w:numPr>
        <w:rPr>
          <w:lang w:val="en-IE"/>
        </w:rPr>
      </w:pPr>
      <w:r w:rsidRPr="0059550D">
        <w:rPr>
          <w:lang w:val="en-IE"/>
        </w:rPr>
        <w:t>Which prefilled information can the user change? (For example, if a contract award notice is prefilled with the procedure type from a contract notice, can that be changed by the user? If information about a contract is prefilled on the basis of the submitted tender metadata or information from the business register, can that be changed by the user?</w:t>
      </w:r>
      <w:r>
        <w:rPr>
          <w:lang w:val="en-IE"/>
        </w:rPr>
        <w:t xml:space="preserve"> If information is prefilled, can the user remove it or should it be mandatory?</w:t>
      </w:r>
      <w:r w:rsidRPr="0059550D">
        <w:rPr>
          <w:lang w:val="en-IE"/>
        </w:rPr>
        <w:t>)</w:t>
      </w:r>
    </w:p>
    <w:p w14:paraId="3A3B255B" w14:textId="77777777" w:rsidR="00760E39" w:rsidRPr="0059550D" w:rsidRDefault="00760E39" w:rsidP="00760E39">
      <w:pPr>
        <w:pStyle w:val="NoSpacing"/>
        <w:numPr>
          <w:ilvl w:val="0"/>
          <w:numId w:val="26"/>
        </w:numPr>
        <w:rPr>
          <w:lang w:val="en-IE"/>
        </w:rPr>
      </w:pPr>
      <w:r w:rsidRPr="0059550D">
        <w:rPr>
          <w:lang w:val="en-IE"/>
        </w:rPr>
        <w:t xml:space="preserve">Which prefilled information should </w:t>
      </w:r>
      <w:r>
        <w:rPr>
          <w:lang w:val="en-IE"/>
        </w:rPr>
        <w:t>the buyer even see</w:t>
      </w:r>
      <w:r w:rsidRPr="0059550D">
        <w:rPr>
          <w:lang w:val="en-IE"/>
        </w:rPr>
        <w:t xml:space="preserve">? Do users need to confirm that all the prefilled information is correct? (For example, technical information such as procedure identifier? </w:t>
      </w:r>
      <w:r>
        <w:rPr>
          <w:lang w:val="en-IE"/>
        </w:rPr>
        <w:t>Address of the buyer? Information imported from the procurement documents?)</w:t>
      </w:r>
    </w:p>
    <w:p w14:paraId="0A14EB34" w14:textId="34EBF3EA" w:rsidR="00760E39" w:rsidRPr="0059550D" w:rsidRDefault="00760E39" w:rsidP="00760E39">
      <w:pPr>
        <w:pStyle w:val="NoSpacing"/>
        <w:numPr>
          <w:ilvl w:val="0"/>
          <w:numId w:val="26"/>
        </w:numPr>
        <w:rPr>
          <w:lang w:val="en-IE"/>
        </w:rPr>
      </w:pPr>
      <w:r>
        <w:rPr>
          <w:lang w:val="en-IE"/>
        </w:rPr>
        <w:t xml:space="preserve">Which prefilled </w:t>
      </w:r>
      <w:r w:rsidRPr="0059550D">
        <w:rPr>
          <w:lang w:val="en-IE"/>
        </w:rPr>
        <w:t xml:space="preserve">information should </w:t>
      </w:r>
      <w:r>
        <w:rPr>
          <w:lang w:val="en-IE"/>
        </w:rPr>
        <w:t>have an explanation</w:t>
      </w:r>
      <w:r w:rsidR="00EA54A5">
        <w:rPr>
          <w:lang w:val="en-IE"/>
        </w:rPr>
        <w:t xml:space="preserve"> and identification</w:t>
      </w:r>
      <w:r>
        <w:rPr>
          <w:lang w:val="en-IE"/>
        </w:rPr>
        <w:t xml:space="preserve"> of </w:t>
      </w:r>
      <w:r w:rsidR="006C00C5">
        <w:rPr>
          <w:lang w:val="en-IE"/>
        </w:rPr>
        <w:t xml:space="preserve">the source </w:t>
      </w:r>
      <w:r>
        <w:rPr>
          <w:lang w:val="en-IE"/>
        </w:rPr>
        <w:t xml:space="preserve">(e.g. a business register) </w:t>
      </w:r>
    </w:p>
    <w:p w14:paraId="5F8FF258" w14:textId="77777777" w:rsidR="00760E39" w:rsidRPr="0059550D" w:rsidRDefault="00760E39" w:rsidP="00760E39">
      <w:pPr>
        <w:pStyle w:val="NoSpacing"/>
        <w:rPr>
          <w:lang w:val="en-IE"/>
        </w:rPr>
      </w:pPr>
    </w:p>
    <w:p w14:paraId="1D8C6584" w14:textId="5E6AA20F" w:rsidR="00F103DE" w:rsidRPr="0059550D" w:rsidRDefault="00760E39" w:rsidP="00F103DE">
      <w:pPr>
        <w:pStyle w:val="NoSpacing"/>
        <w:rPr>
          <w:lang w:val="en-IE"/>
        </w:rPr>
      </w:pPr>
      <w:r>
        <w:rPr>
          <w:lang w:val="en-IE"/>
        </w:rPr>
        <w:t xml:space="preserve">Prefilling, a type of </w:t>
      </w:r>
      <w:r w:rsidRPr="0059550D">
        <w:rPr>
          <w:lang w:val="en-IE"/>
        </w:rPr>
        <w:t>data exchange</w:t>
      </w:r>
      <w:r>
        <w:rPr>
          <w:lang w:val="en-IE"/>
        </w:rPr>
        <w:t>,</w:t>
      </w:r>
      <w:r w:rsidRPr="0059550D">
        <w:rPr>
          <w:lang w:val="en-IE"/>
        </w:rPr>
        <w:t xml:space="preserve"> is an example of the once only principle</w:t>
      </w:r>
      <w:r>
        <w:rPr>
          <w:rStyle w:val="FootnoteReference"/>
          <w:lang w:val="en-IE"/>
        </w:rPr>
        <w:footnoteReference w:id="58"/>
      </w:r>
      <w:r w:rsidRPr="0059550D">
        <w:rPr>
          <w:lang w:val="en-IE"/>
        </w:rPr>
        <w:t xml:space="preserve"> and interoperability. Interoperability is necessary for data portability between eProcurement systems, easier reuse of public and private solutions across borders, etc. The </w:t>
      </w:r>
      <w:r w:rsidR="00FD0EB7">
        <w:rPr>
          <w:lang w:val="en-IE"/>
        </w:rPr>
        <w:t>Multi-Stakeholder E</w:t>
      </w:r>
      <w:r w:rsidRPr="0059550D">
        <w:rPr>
          <w:lang w:val="en-IE"/>
        </w:rPr>
        <w:t xml:space="preserve">xpert </w:t>
      </w:r>
      <w:r w:rsidR="00FD0EB7">
        <w:rPr>
          <w:lang w:val="en-IE"/>
        </w:rPr>
        <w:t>G</w:t>
      </w:r>
      <w:r w:rsidRPr="0059550D">
        <w:rPr>
          <w:lang w:val="en-IE"/>
        </w:rPr>
        <w:t xml:space="preserve">roup </w:t>
      </w:r>
      <w:r w:rsidR="00FD0EB7">
        <w:rPr>
          <w:lang w:val="en-IE"/>
        </w:rPr>
        <w:t xml:space="preserve">on eProcurement </w:t>
      </w:r>
      <w:r w:rsidRPr="0059550D">
        <w:rPr>
          <w:lang w:val="en-IE"/>
        </w:rPr>
        <w:t xml:space="preserve">(EXEP) has published a paper on interoperability, </w:t>
      </w:r>
      <w:r w:rsidR="006C00C5">
        <w:rPr>
          <w:lang w:val="en-IE"/>
        </w:rPr>
        <w:t xml:space="preserve">outlining the various interoperability layers as envisioned in the European Interoperability Framework, providing recommendations and actions to address the current issues and conclusions, </w:t>
      </w:r>
      <w:r>
        <w:rPr>
          <w:lang w:val="en-IE"/>
        </w:rPr>
        <w:t xml:space="preserve">which we recommend reading. </w:t>
      </w:r>
      <w:r w:rsidR="00F103DE">
        <w:rPr>
          <w:lang w:val="en-IE"/>
        </w:rPr>
        <w:t xml:space="preserve">Decision makers should pay great attention to ensuring semantic interoperability, which also requires </w:t>
      </w:r>
      <w:r w:rsidR="00F103DE">
        <w:rPr>
          <w:lang w:val="en-IE"/>
        </w:rPr>
        <w:lastRenderedPageBreak/>
        <w:t xml:space="preserve">organisational and legal interoperability, and coordination at national level to ensure that also interoperability at the technical level can take place. </w:t>
      </w:r>
    </w:p>
    <w:p w14:paraId="305D9311" w14:textId="77777777" w:rsidR="00760E39" w:rsidRPr="0059550D" w:rsidRDefault="00760E39" w:rsidP="00760E39">
      <w:pPr>
        <w:pStyle w:val="NoSpacing"/>
        <w:rPr>
          <w:lang w:val="en-IE"/>
        </w:rPr>
      </w:pPr>
    </w:p>
    <w:p w14:paraId="718469C2" w14:textId="59524498" w:rsidR="00760E39" w:rsidRPr="0059550D" w:rsidRDefault="00760E39" w:rsidP="00760E39">
      <w:pPr>
        <w:pStyle w:val="NoSpacing"/>
        <w:rPr>
          <w:lang w:val="en-IE"/>
        </w:rPr>
      </w:pPr>
      <w:r w:rsidRPr="0059550D">
        <w:rPr>
          <w:lang w:val="en-IE"/>
        </w:rPr>
        <w:t>As the most prominent example of what interoperability failures can cause, we note that in a few EU countries, buyers are required to submit identical information to multiple systems (e.g. a national contract register, national notice publication system, eNotices)</w:t>
      </w:r>
      <w:r w:rsidR="00F103DE">
        <w:rPr>
          <w:lang w:val="en-IE"/>
        </w:rPr>
        <w:t xml:space="preserve"> leading to duplications and errors</w:t>
      </w:r>
      <w:r w:rsidRPr="0059550D">
        <w:rPr>
          <w:lang w:val="en-IE"/>
        </w:rPr>
        <w:t xml:space="preserve">. </w:t>
      </w:r>
      <w:r>
        <w:rPr>
          <w:lang w:val="en-IE"/>
        </w:rPr>
        <w:t>This should be avoided.</w:t>
      </w:r>
    </w:p>
    <w:p w14:paraId="7FDA1AD4" w14:textId="36EDF884" w:rsidR="00760E39" w:rsidRPr="0059550D" w:rsidRDefault="00760E39" w:rsidP="00760E39">
      <w:pPr>
        <w:pStyle w:val="NoSpacing"/>
        <w:rPr>
          <w:lang w:val="en-IE"/>
        </w:rPr>
      </w:pPr>
      <w:r w:rsidRPr="0059550D">
        <w:rPr>
          <w:lang w:val="en-IE"/>
        </w:rPr>
        <w:t xml:space="preserve">Even when the forms are largely prefilled automatically, some part of the information must still be entered manually. This is when the user friendliness of an </w:t>
      </w:r>
      <w:r w:rsidRPr="00FD0EB7">
        <w:rPr>
          <w:lang w:val="en-IE"/>
        </w:rPr>
        <w:t>interface plays</w:t>
      </w:r>
      <w:r w:rsidRPr="0059550D">
        <w:rPr>
          <w:lang w:val="en-IE"/>
        </w:rPr>
        <w:t xml:space="preserve"> a crucial role. A good </w:t>
      </w:r>
      <w:r w:rsidRPr="00FD0EB7">
        <w:rPr>
          <w:lang w:val="en-IE"/>
        </w:rPr>
        <w:t>user interface</w:t>
      </w:r>
      <w:r w:rsidRPr="0059550D">
        <w:rPr>
          <w:lang w:val="en-IE"/>
        </w:rPr>
        <w:t xml:space="preserve"> can significantly cut the time needed to fill in a form. Similarly, it can also improve the quality of notices by detecting certain type of errors, for example by notifying users when they have probably made a typo (e.g. when an estimated value is €10,000,000 and the final value is €1,000,000). Thus, while eForms will significantly reduce administrative burden, to reap the full benefits, sufficient attention should be paid in Member States also to ensuring that  buyers have access to high-quality user interfaces. For a discussion of particular user interface, see</w:t>
      </w:r>
      <w:r w:rsidR="00FD0EB7">
        <w:rPr>
          <w:lang w:val="en-IE"/>
        </w:rPr>
        <w:t xml:space="preserve"> Annex I.</w:t>
      </w:r>
    </w:p>
    <w:p w14:paraId="6D4431D2" w14:textId="77777777" w:rsidR="00760E39" w:rsidRPr="0059550D" w:rsidRDefault="00760E39" w:rsidP="00760E39">
      <w:pPr>
        <w:pStyle w:val="NoSpacing"/>
        <w:rPr>
          <w:lang w:val="en-IE"/>
        </w:rPr>
      </w:pPr>
    </w:p>
    <w:p w14:paraId="6C383A66" w14:textId="5E04AEAA" w:rsidR="00760E39" w:rsidRDefault="00760E39" w:rsidP="00760E39">
      <w:pPr>
        <w:pStyle w:val="NoSpacing"/>
        <w:rPr>
          <w:lang w:val="en-IE"/>
        </w:rPr>
      </w:pPr>
      <w:r w:rsidRPr="0059550D">
        <w:rPr>
          <w:lang w:val="en-IE"/>
        </w:rPr>
        <w:t>While user interface decisions are a question for technical designers rather than policymakers, we include</w:t>
      </w:r>
      <w:r w:rsidR="00FD0EB7">
        <w:rPr>
          <w:lang w:val="en-IE"/>
        </w:rPr>
        <w:t>d</w:t>
      </w:r>
      <w:r w:rsidRPr="0059550D">
        <w:rPr>
          <w:lang w:val="en-IE"/>
        </w:rPr>
        <w:t xml:space="preserve"> Annex </w:t>
      </w:r>
      <w:r w:rsidR="00FD0EB7">
        <w:rPr>
          <w:lang w:val="en-IE"/>
        </w:rPr>
        <w:t xml:space="preserve">I in this document </w:t>
      </w:r>
      <w:r w:rsidRPr="0059550D">
        <w:rPr>
          <w:lang w:val="en-IE"/>
        </w:rPr>
        <w:t xml:space="preserve">to emphasize how much administrative burden can be reduced if the forms are designed with users in mind. </w:t>
      </w:r>
      <w:r w:rsidR="00FD0EB7">
        <w:rPr>
          <w:lang w:val="en-IE"/>
        </w:rPr>
        <w:t>T</w:t>
      </w:r>
      <w:r w:rsidRPr="0059550D">
        <w:rPr>
          <w:lang w:val="en-IE"/>
        </w:rPr>
        <w:t>ypically, good design requires significant interaction with users of the application and working with professional designers, which needs to be reflected in the resources and contracts used for building the notice sending tool.</w:t>
      </w:r>
      <w:r>
        <w:rPr>
          <w:lang w:val="en-IE"/>
        </w:rPr>
        <w:t xml:space="preserve"> </w:t>
      </w:r>
      <w:r w:rsidRPr="00EB186D">
        <w:rPr>
          <w:b/>
          <w:lang w:val="en-IE"/>
        </w:rPr>
        <w:t>User-centric design</w:t>
      </w:r>
      <w:r>
        <w:rPr>
          <w:lang w:val="en-IE"/>
        </w:rPr>
        <w:t xml:space="preserve"> </w:t>
      </w:r>
      <w:r w:rsidRPr="00EB186D">
        <w:rPr>
          <w:b/>
          <w:lang w:val="en-IE"/>
        </w:rPr>
        <w:t>and testing</w:t>
      </w:r>
      <w:r>
        <w:rPr>
          <w:lang w:val="en-IE"/>
        </w:rPr>
        <w:t xml:space="preserve"> is crucial. </w:t>
      </w:r>
    </w:p>
    <w:p w14:paraId="442557A9" w14:textId="77777777" w:rsidR="00760E39" w:rsidRDefault="00760E39" w:rsidP="00760E39">
      <w:pPr>
        <w:pStyle w:val="NoSpacing"/>
        <w:rPr>
          <w:lang w:val="en-IE"/>
        </w:rPr>
      </w:pPr>
    </w:p>
    <w:p w14:paraId="6300B0A2" w14:textId="441E51FC" w:rsidR="003E2C50" w:rsidRDefault="00760E39" w:rsidP="00760E39">
      <w:pPr>
        <w:pStyle w:val="NoSpacing"/>
        <w:rPr>
          <w:lang w:val="en-IE"/>
        </w:rPr>
      </w:pPr>
      <w:r>
        <w:rPr>
          <w:lang w:val="en-IE"/>
        </w:rPr>
        <w:t xml:space="preserve">Prefilling notices is also a particularly good problem to be solved using artificial intelligence. There is a large amount of historical data and artificial intelligence algorithms could be prefilling notices for example on the basis of procurement documents and, partially, also on the basis of previous notices. This can also be applied for individual fields (e.g. prefilling CPV on the basis of the procurement descriptions). </w:t>
      </w:r>
    </w:p>
    <w:p w14:paraId="39C83CC6" w14:textId="0AA70610" w:rsidR="003E2C50" w:rsidRDefault="003E2C50" w:rsidP="00760E39">
      <w:pPr>
        <w:pStyle w:val="NoSpacing"/>
        <w:rPr>
          <w:lang w:val="en-IE"/>
        </w:rPr>
      </w:pPr>
    </w:p>
    <w:p w14:paraId="08702172" w14:textId="44A04CFC" w:rsidR="003E2C50" w:rsidRDefault="00760E39" w:rsidP="00760E39">
      <w:pPr>
        <w:pStyle w:val="NoSpacing"/>
        <w:rPr>
          <w:lang w:val="en-IE"/>
        </w:rPr>
      </w:pPr>
      <w:r w:rsidRPr="0059550D">
        <w:rPr>
          <w:lang w:val="en-IE"/>
        </w:rPr>
        <w:t>The</w:t>
      </w:r>
      <w:r w:rsidR="003E2C50">
        <w:rPr>
          <w:lang w:val="en-IE"/>
        </w:rPr>
        <w:t xml:space="preserve"> </w:t>
      </w:r>
      <w:r w:rsidR="003E2C50" w:rsidRPr="00EB186D">
        <w:rPr>
          <w:b/>
          <w:lang w:val="en-IE"/>
        </w:rPr>
        <w:t xml:space="preserve">data </w:t>
      </w:r>
      <w:r w:rsidRPr="00EB186D">
        <w:rPr>
          <w:b/>
          <w:lang w:val="en-IE"/>
        </w:rPr>
        <w:t>sources</w:t>
      </w:r>
      <w:r w:rsidRPr="0059550D">
        <w:rPr>
          <w:lang w:val="en-IE"/>
        </w:rPr>
        <w:t xml:space="preserve"> </w:t>
      </w:r>
      <w:r w:rsidR="003E2C50">
        <w:rPr>
          <w:lang w:val="en-IE"/>
        </w:rPr>
        <w:t xml:space="preserve">to automatically prefill the eForms are as follows: </w:t>
      </w:r>
    </w:p>
    <w:p w14:paraId="0FF3FF1D" w14:textId="77777777" w:rsidR="003E2C50" w:rsidRDefault="003E2C50" w:rsidP="00760E39">
      <w:pPr>
        <w:pStyle w:val="NoSpacing"/>
        <w:rPr>
          <w:lang w:val="en-IE"/>
        </w:rPr>
      </w:pPr>
    </w:p>
    <w:p w14:paraId="55D5972D" w14:textId="0B8A001F" w:rsidR="003E2C50" w:rsidRDefault="003E2C50" w:rsidP="00EB186D">
      <w:pPr>
        <w:pStyle w:val="NoSpacing"/>
        <w:numPr>
          <w:ilvl w:val="0"/>
          <w:numId w:val="64"/>
        </w:numPr>
        <w:rPr>
          <w:lang w:val="en-IE"/>
        </w:rPr>
      </w:pPr>
      <w:r>
        <w:rPr>
          <w:lang w:val="en-IE"/>
        </w:rPr>
        <w:t xml:space="preserve">eForms; </w:t>
      </w:r>
    </w:p>
    <w:p w14:paraId="19B415CF" w14:textId="1473F3A7" w:rsidR="003E2C50" w:rsidRDefault="003E2C50" w:rsidP="00EB186D">
      <w:pPr>
        <w:pStyle w:val="NoSpacing"/>
        <w:numPr>
          <w:ilvl w:val="0"/>
          <w:numId w:val="64"/>
        </w:numPr>
        <w:rPr>
          <w:lang w:val="en-IE"/>
        </w:rPr>
      </w:pPr>
      <w:r>
        <w:rPr>
          <w:lang w:val="en-IE"/>
        </w:rPr>
        <w:t>eProcurement systems;</w:t>
      </w:r>
      <w:r w:rsidR="00747722">
        <w:rPr>
          <w:lang w:val="en-IE"/>
        </w:rPr>
        <w:t xml:space="preserve"> and</w:t>
      </w:r>
    </w:p>
    <w:p w14:paraId="44F60B3E" w14:textId="0B8E0F2E" w:rsidR="003E2C50" w:rsidRDefault="003E2C50" w:rsidP="00EB186D">
      <w:pPr>
        <w:pStyle w:val="NoSpacing"/>
        <w:numPr>
          <w:ilvl w:val="0"/>
          <w:numId w:val="64"/>
        </w:numPr>
        <w:rPr>
          <w:lang w:val="en-IE"/>
        </w:rPr>
      </w:pPr>
      <w:r>
        <w:rPr>
          <w:lang w:val="en-IE"/>
        </w:rPr>
        <w:t>eGovernment systems</w:t>
      </w:r>
      <w:r w:rsidR="00747722">
        <w:rPr>
          <w:lang w:val="en-IE"/>
        </w:rPr>
        <w:t xml:space="preserve">. </w:t>
      </w:r>
    </w:p>
    <w:p w14:paraId="3C7230F5" w14:textId="77777777" w:rsidR="003E2C50" w:rsidRDefault="003E2C50" w:rsidP="00760E39">
      <w:pPr>
        <w:pStyle w:val="NoSpacing"/>
        <w:rPr>
          <w:lang w:val="en-IE"/>
        </w:rPr>
      </w:pPr>
    </w:p>
    <w:p w14:paraId="48EF4C12" w14:textId="6B6B97AA" w:rsidR="00760E39" w:rsidRDefault="003E2C50" w:rsidP="00760E39">
      <w:pPr>
        <w:pStyle w:val="NoSpacing"/>
        <w:rPr>
          <w:lang w:val="en-IE"/>
        </w:rPr>
      </w:pPr>
      <w:r w:rsidRPr="0059550D">
        <w:rPr>
          <w:lang w:val="en-IE"/>
        </w:rPr>
        <w:t xml:space="preserve">The “low hanging fruit” </w:t>
      </w:r>
      <w:r w:rsidR="00236798">
        <w:rPr>
          <w:lang w:val="en-IE"/>
        </w:rPr>
        <w:t>for</w:t>
      </w:r>
      <w:r w:rsidRPr="0059550D">
        <w:rPr>
          <w:lang w:val="en-IE"/>
        </w:rPr>
        <w:t xml:space="preserve"> prefilling</w:t>
      </w:r>
      <w:r w:rsidR="00236798">
        <w:rPr>
          <w:lang w:val="en-IE"/>
        </w:rPr>
        <w:t xml:space="preserve"> eForms</w:t>
      </w:r>
      <w:r w:rsidRPr="0059550D">
        <w:rPr>
          <w:lang w:val="en-IE"/>
        </w:rPr>
        <w:t xml:space="preserve"> is making sure that information is </w:t>
      </w:r>
      <w:r>
        <w:rPr>
          <w:lang w:val="en-IE"/>
        </w:rPr>
        <w:t>re-used</w:t>
      </w:r>
      <w:r w:rsidRPr="0059550D">
        <w:rPr>
          <w:lang w:val="en-IE"/>
        </w:rPr>
        <w:t xml:space="preserve"> from one</w:t>
      </w:r>
      <w:r>
        <w:rPr>
          <w:lang w:val="en-IE"/>
        </w:rPr>
        <w:t xml:space="preserve"> (part of an)</w:t>
      </w:r>
      <w:r w:rsidRPr="0059550D">
        <w:rPr>
          <w:lang w:val="en-IE"/>
        </w:rPr>
        <w:t xml:space="preserve"> eForm to another. However, for a truly digital approach, the eForms generating system must be able to access data from other</w:t>
      </w:r>
      <w:r>
        <w:rPr>
          <w:lang w:val="en-IE"/>
        </w:rPr>
        <w:t xml:space="preserve"> systems which </w:t>
      </w:r>
      <w:r w:rsidRPr="0059550D">
        <w:rPr>
          <w:lang w:val="en-IE"/>
        </w:rPr>
        <w:t>can be split into two categories: eProcurement systems</w:t>
      </w:r>
      <w:r w:rsidRPr="0059550D">
        <w:rPr>
          <w:rStyle w:val="FootnoteReference"/>
          <w:lang w:val="en-IE"/>
        </w:rPr>
        <w:footnoteReference w:id="59"/>
      </w:r>
      <w:r>
        <w:rPr>
          <w:lang w:val="en-IE"/>
        </w:rPr>
        <w:t xml:space="preserve"> and o</w:t>
      </w:r>
      <w:r w:rsidRPr="0059550D">
        <w:rPr>
          <w:lang w:val="en-IE"/>
        </w:rPr>
        <w:t>ther eGovernment systems.</w:t>
      </w:r>
      <w:r>
        <w:rPr>
          <w:lang w:val="en-IE"/>
        </w:rPr>
        <w:t xml:space="preserve"> These data sources are discussed below.</w:t>
      </w:r>
    </w:p>
    <w:p w14:paraId="636ACD2E" w14:textId="77777777" w:rsidR="00760E39" w:rsidRPr="0059550D" w:rsidRDefault="00760E39" w:rsidP="00760E39">
      <w:pPr>
        <w:pStyle w:val="Heading3"/>
        <w:rPr>
          <w:lang w:val="en-IE"/>
        </w:rPr>
      </w:pPr>
      <w:bookmarkStart w:id="64" w:name="_Toc25684098"/>
      <w:r w:rsidRPr="0059550D">
        <w:rPr>
          <w:lang w:val="en-IE"/>
        </w:rPr>
        <w:t>eForms</w:t>
      </w:r>
      <w:bookmarkEnd w:id="64"/>
    </w:p>
    <w:p w14:paraId="134E5BAB" w14:textId="77777777" w:rsidR="00760E39" w:rsidRPr="0059550D" w:rsidRDefault="00760E39" w:rsidP="00760E39">
      <w:pPr>
        <w:pStyle w:val="NoSpacing"/>
        <w:rPr>
          <w:lang w:val="en-IE"/>
        </w:rPr>
      </w:pPr>
    </w:p>
    <w:p w14:paraId="401F6F8F" w14:textId="77777777" w:rsidR="00760E39" w:rsidRPr="0059550D" w:rsidRDefault="00760E39" w:rsidP="00CC49EA">
      <w:pPr>
        <w:jc w:val="both"/>
        <w:textAlignment w:val="baseline"/>
        <w:rPr>
          <w:lang w:val="en-IE"/>
        </w:rPr>
      </w:pPr>
      <w:r w:rsidRPr="0059550D">
        <w:rPr>
          <w:lang w:val="en-IE"/>
        </w:rPr>
        <w:t xml:space="preserve">The </w:t>
      </w:r>
      <w:r>
        <w:rPr>
          <w:lang w:val="en-IE"/>
        </w:rPr>
        <w:t xml:space="preserve">closest and easiest </w:t>
      </w:r>
      <w:r w:rsidRPr="0059550D">
        <w:rPr>
          <w:lang w:val="en-IE"/>
        </w:rPr>
        <w:t xml:space="preserve">source of information </w:t>
      </w:r>
      <w:r>
        <w:rPr>
          <w:lang w:val="en-IE"/>
        </w:rPr>
        <w:t xml:space="preserve">to prefill in </w:t>
      </w:r>
      <w:r w:rsidRPr="0059550D">
        <w:rPr>
          <w:lang w:val="en-IE"/>
        </w:rPr>
        <w:t xml:space="preserve">a notice is </w:t>
      </w:r>
      <w:r>
        <w:rPr>
          <w:lang w:val="en-IE"/>
        </w:rPr>
        <w:t xml:space="preserve">again a </w:t>
      </w:r>
      <w:r w:rsidRPr="0059550D">
        <w:rPr>
          <w:lang w:val="en-IE"/>
        </w:rPr>
        <w:t xml:space="preserve">notice. </w:t>
      </w:r>
      <w:r>
        <w:rPr>
          <w:lang w:val="en-IE"/>
        </w:rPr>
        <w:t>T</w:t>
      </w:r>
      <w:r w:rsidRPr="0059550D">
        <w:rPr>
          <w:lang w:val="en-IE"/>
        </w:rPr>
        <w:t>here are several scenarios:</w:t>
      </w:r>
    </w:p>
    <w:p w14:paraId="0E9C3134" w14:textId="77777777" w:rsidR="00747722" w:rsidRPr="00747722" w:rsidRDefault="00747722" w:rsidP="00EB186D">
      <w:pPr>
        <w:jc w:val="both"/>
        <w:textAlignment w:val="baseline"/>
        <w:rPr>
          <w:lang w:val="en-IE"/>
        </w:rPr>
      </w:pPr>
    </w:p>
    <w:p w14:paraId="19185C74" w14:textId="5A3C176C" w:rsidR="00747722" w:rsidRPr="00747722" w:rsidRDefault="00747722" w:rsidP="00747722">
      <w:pPr>
        <w:pStyle w:val="ListParagraph"/>
        <w:numPr>
          <w:ilvl w:val="0"/>
          <w:numId w:val="65"/>
        </w:numPr>
        <w:jc w:val="both"/>
        <w:textAlignment w:val="baseline"/>
        <w:rPr>
          <w:lang w:val="en-IE"/>
        </w:rPr>
      </w:pPr>
      <w:r w:rsidRPr="0059550D">
        <w:rPr>
          <w:lang w:val="en-IE"/>
        </w:rPr>
        <w:t xml:space="preserve">Prefilling data between notices within the same procedure. This covers information from planning forms to competition forms, from competition forms to result forms, from result form to modification forms, from any forms to </w:t>
      </w:r>
      <w:r w:rsidR="0009261A">
        <w:rPr>
          <w:lang w:val="en-IE"/>
        </w:rPr>
        <w:t>change</w:t>
      </w:r>
      <w:r w:rsidR="0009261A" w:rsidRPr="0059550D">
        <w:rPr>
          <w:lang w:val="en-IE"/>
        </w:rPr>
        <w:t xml:space="preserve"> </w:t>
      </w:r>
      <w:r w:rsidRPr="0059550D">
        <w:rPr>
          <w:lang w:val="en-IE"/>
        </w:rPr>
        <w:t xml:space="preserve">forms, etc. </w:t>
      </w:r>
    </w:p>
    <w:p w14:paraId="6D007B16" w14:textId="466974C8" w:rsidR="00760E39" w:rsidRPr="00081BE0" w:rsidRDefault="00760E39" w:rsidP="00747722">
      <w:pPr>
        <w:pStyle w:val="ListParagraph"/>
        <w:numPr>
          <w:ilvl w:val="0"/>
          <w:numId w:val="65"/>
        </w:numPr>
        <w:jc w:val="both"/>
        <w:textAlignment w:val="baseline"/>
        <w:rPr>
          <w:lang w:val="en-IE"/>
        </w:rPr>
      </w:pPr>
      <w:r w:rsidRPr="0059550D">
        <w:rPr>
          <w:lang w:val="en-IE"/>
        </w:rPr>
        <w:lastRenderedPageBreak/>
        <w:t xml:space="preserve">Prefilling data from </w:t>
      </w:r>
      <w:r>
        <w:rPr>
          <w:lang w:val="en-IE"/>
        </w:rPr>
        <w:t>across</w:t>
      </w:r>
      <w:r w:rsidRPr="0059550D">
        <w:rPr>
          <w:lang w:val="en-IE"/>
        </w:rPr>
        <w:t xml:space="preserve"> the same notice. For example, the common procurement vocabulary (CPV) can be used to prefill whether the </w:t>
      </w:r>
      <w:r w:rsidR="0009261A">
        <w:rPr>
          <w:lang w:val="en-IE"/>
        </w:rPr>
        <w:t xml:space="preserve">main nature of the procurement </w:t>
      </w:r>
      <w:r w:rsidRPr="0059550D">
        <w:rPr>
          <w:lang w:val="en-IE"/>
        </w:rPr>
        <w:t xml:space="preserve">is </w:t>
      </w:r>
      <w:r w:rsidR="0009261A" w:rsidRPr="0059550D">
        <w:rPr>
          <w:lang w:val="en-IE"/>
        </w:rPr>
        <w:t>suppl</w:t>
      </w:r>
      <w:r w:rsidR="0009261A">
        <w:rPr>
          <w:lang w:val="en-IE"/>
        </w:rPr>
        <w:t>ies</w:t>
      </w:r>
      <w:r w:rsidRPr="0059550D">
        <w:rPr>
          <w:lang w:val="en-IE"/>
        </w:rPr>
        <w:t>, service</w:t>
      </w:r>
      <w:r w:rsidR="0009261A">
        <w:rPr>
          <w:lang w:val="en-IE"/>
        </w:rPr>
        <w:t>s</w:t>
      </w:r>
      <w:r w:rsidRPr="0059550D">
        <w:rPr>
          <w:lang w:val="en-IE"/>
        </w:rPr>
        <w:t xml:space="preserve"> or work</w:t>
      </w:r>
      <w:r w:rsidR="0009261A">
        <w:rPr>
          <w:lang w:val="en-IE"/>
        </w:rPr>
        <w:t>s</w:t>
      </w:r>
      <w:r w:rsidRPr="0059550D">
        <w:rPr>
          <w:lang w:val="en-IE"/>
        </w:rPr>
        <w:t xml:space="preserve">; the values of individual lots can prefill the value of an entire notice. Since having inconsistent information in, for example, the common procurement vocabulary and the supplies, services and works is not acceptable, all such relationships are described in the business rules. However, these should not only be used for validating data at the reception of a notice, but </w:t>
      </w:r>
      <w:r w:rsidRPr="00081BE0">
        <w:rPr>
          <w:lang w:val="en-IE"/>
        </w:rPr>
        <w:t xml:space="preserve">also to </w:t>
      </w:r>
      <w:r w:rsidRPr="00A42F8C">
        <w:rPr>
          <w:lang w:val="en-IE"/>
        </w:rPr>
        <w:t>prefill</w:t>
      </w:r>
      <w:r w:rsidR="0009261A" w:rsidRPr="00A42F8C">
        <w:rPr>
          <w:lang w:val="en-IE"/>
        </w:rPr>
        <w:t xml:space="preserve">, </w:t>
      </w:r>
      <w:r w:rsidR="0009261A" w:rsidRPr="00081BE0">
        <w:t>filter, control or validate</w:t>
      </w:r>
      <w:r w:rsidRPr="00A42F8C">
        <w:rPr>
          <w:lang w:val="en-IE"/>
        </w:rPr>
        <w:t xml:space="preserve"> data</w:t>
      </w:r>
      <w:r w:rsidRPr="00081BE0">
        <w:rPr>
          <w:lang w:val="en-IE"/>
        </w:rPr>
        <w:t xml:space="preserve"> when creating a notice. </w:t>
      </w:r>
    </w:p>
    <w:p w14:paraId="0CF0E786" w14:textId="77777777" w:rsidR="00760E39" w:rsidRPr="0059550D" w:rsidRDefault="00760E39" w:rsidP="00747722">
      <w:pPr>
        <w:pStyle w:val="ListParagraph"/>
        <w:numPr>
          <w:ilvl w:val="0"/>
          <w:numId w:val="65"/>
        </w:numPr>
        <w:jc w:val="both"/>
        <w:textAlignment w:val="baseline"/>
        <w:rPr>
          <w:lang w:val="en-IE"/>
        </w:rPr>
      </w:pPr>
      <w:r w:rsidRPr="0059550D">
        <w:rPr>
          <w:lang w:val="en-IE"/>
        </w:rPr>
        <w:t xml:space="preserve">From a pre-created “notice template” to all notices using that template. A minimalist version of the same functionality is having a user profile of buyer information that is automatically prefilled in all notices. </w:t>
      </w:r>
    </w:p>
    <w:p w14:paraId="10EEAF56" w14:textId="4D4C4299" w:rsidR="00760E39" w:rsidRPr="0059550D" w:rsidRDefault="00760E39" w:rsidP="00760E39">
      <w:pPr>
        <w:pStyle w:val="Heading3"/>
        <w:rPr>
          <w:lang w:val="en-IE"/>
        </w:rPr>
      </w:pPr>
      <w:bookmarkStart w:id="65" w:name="_Toc25684099"/>
      <w:r w:rsidRPr="0059550D">
        <w:rPr>
          <w:lang w:val="en-IE"/>
        </w:rPr>
        <w:t>eProcurement systems</w:t>
      </w:r>
      <w:bookmarkEnd w:id="65"/>
    </w:p>
    <w:p w14:paraId="2FC93DCD" w14:textId="77777777" w:rsidR="00760E39" w:rsidRPr="0059550D" w:rsidRDefault="00760E39" w:rsidP="00760E39">
      <w:pPr>
        <w:pStyle w:val="NoSpacing"/>
        <w:rPr>
          <w:lang w:val="en-IE"/>
        </w:rPr>
      </w:pPr>
    </w:p>
    <w:p w14:paraId="5654A6DB" w14:textId="69D18842" w:rsidR="00760E39" w:rsidRPr="0059550D" w:rsidRDefault="00760E39" w:rsidP="00760E39">
      <w:pPr>
        <w:pStyle w:val="NoSpacing"/>
        <w:rPr>
          <w:lang w:val="en-IE"/>
        </w:rPr>
      </w:pPr>
      <w:r w:rsidRPr="0059550D">
        <w:rPr>
          <w:lang w:val="en-IE"/>
        </w:rPr>
        <w:t xml:space="preserve">eForms summarize what happens in most procurement phases. This breadth makes them a centrepiece of </w:t>
      </w:r>
      <w:r>
        <w:rPr>
          <w:lang w:val="en-IE"/>
        </w:rPr>
        <w:t>eP</w:t>
      </w:r>
      <w:r w:rsidRPr="0059550D">
        <w:rPr>
          <w:lang w:val="en-IE"/>
        </w:rPr>
        <w:t xml:space="preserve">rocurement </w:t>
      </w:r>
      <w:r>
        <w:rPr>
          <w:lang w:val="en-IE"/>
        </w:rPr>
        <w:t>data</w:t>
      </w:r>
      <w:r w:rsidRPr="0059550D">
        <w:rPr>
          <w:lang w:val="en-IE"/>
        </w:rPr>
        <w:t>. At the same time, to be filled in automatically, eForms need to receive data from, or be otherwise coordinated with, other phases of eProcurement.</w:t>
      </w:r>
      <w:r>
        <w:rPr>
          <w:lang w:val="en-IE"/>
        </w:rPr>
        <w:t xml:space="preserve"> Below, we discuss the relationship with the European Single Procurement Document, eInvoicing, and the other eProcurement phases.</w:t>
      </w:r>
    </w:p>
    <w:p w14:paraId="0892010B" w14:textId="77777777" w:rsidR="00760E39" w:rsidRPr="0059550D" w:rsidRDefault="00760E39" w:rsidP="00760E39">
      <w:pPr>
        <w:rPr>
          <w:lang w:val="en-IE"/>
        </w:rPr>
      </w:pPr>
    </w:p>
    <w:p w14:paraId="643EC289" w14:textId="77777777" w:rsidR="00760E39" w:rsidRPr="0059550D" w:rsidRDefault="00760E39" w:rsidP="00760E39">
      <w:pPr>
        <w:pStyle w:val="NoSpacing"/>
        <w:rPr>
          <w:lang w:val="en-IE"/>
        </w:rPr>
      </w:pPr>
      <w:r w:rsidRPr="0059550D">
        <w:rPr>
          <w:lang w:val="en-IE"/>
        </w:rPr>
        <w:t xml:space="preserve">To help interoperability between eProcurement systems, the Publication Office of the EU is leading the </w:t>
      </w:r>
      <w:r w:rsidRPr="00EB186D">
        <w:rPr>
          <w:b/>
          <w:lang w:val="en-IE"/>
        </w:rPr>
        <w:t>eProcurement Ontology</w:t>
      </w:r>
      <w:r w:rsidRPr="0059550D">
        <w:rPr>
          <w:lang w:val="en-IE"/>
        </w:rPr>
        <w:t xml:space="preserve"> project</w:t>
      </w:r>
      <w:r w:rsidRPr="0059550D">
        <w:rPr>
          <w:rStyle w:val="FootnoteReference"/>
          <w:lang w:val="en-IE"/>
        </w:rPr>
        <w:footnoteReference w:id="60"/>
      </w:r>
      <w:r w:rsidRPr="0059550D">
        <w:rPr>
          <w:lang w:val="en-IE"/>
        </w:rPr>
        <w:t xml:space="preserve">. This project describes all possible eProcurement data elements and their relationships, thus facilitating data exchange. </w:t>
      </w:r>
      <w:r>
        <w:rPr>
          <w:lang w:val="en-IE"/>
        </w:rPr>
        <w:t xml:space="preserve">The ontology </w:t>
      </w:r>
      <w:r w:rsidRPr="0059550D">
        <w:rPr>
          <w:lang w:val="en-IE"/>
        </w:rPr>
        <w:t xml:space="preserve">is broader than eForms, covering also the ESPD, eInvoicing as well as detailed process-oriented information from eSubmission, eEvaluation and eOrdering.  </w:t>
      </w:r>
      <w:r>
        <w:rPr>
          <w:lang w:val="en-IE"/>
        </w:rPr>
        <w:t>Consequently, in end-to-end procurement systems, the eProcurement Ontology is an ideal reference for ensuring coherent relationship between data in all phases.</w:t>
      </w:r>
    </w:p>
    <w:p w14:paraId="6EAEC49B" w14:textId="22F9379D" w:rsidR="00760E39" w:rsidRPr="0009261A" w:rsidRDefault="00760E39">
      <w:pPr>
        <w:pStyle w:val="Heading4"/>
        <w:rPr>
          <w:lang w:val="fr-BE"/>
        </w:rPr>
      </w:pPr>
      <w:r w:rsidRPr="0009261A">
        <w:rPr>
          <w:lang w:val="fr-BE"/>
        </w:rPr>
        <w:t>European Single Procurement Document (ESPD)</w:t>
      </w:r>
    </w:p>
    <w:p w14:paraId="41B968E4" w14:textId="4DD73B94" w:rsidR="00760E39" w:rsidRPr="005B1441" w:rsidRDefault="00760E39" w:rsidP="00760E39">
      <w:pPr>
        <w:pStyle w:val="NoSpacing"/>
        <w:rPr>
          <w:lang w:val="fr-BE"/>
        </w:rPr>
      </w:pPr>
    </w:p>
    <w:p w14:paraId="00F9D2F7" w14:textId="6A581839" w:rsidR="00760E39" w:rsidRPr="0059550D" w:rsidRDefault="00760E39" w:rsidP="00760E39">
      <w:pPr>
        <w:pStyle w:val="NoSpacing"/>
        <w:rPr>
          <w:lang w:val="en-IE"/>
        </w:rPr>
      </w:pPr>
      <w:r w:rsidRPr="0059550D">
        <w:rPr>
          <w:lang w:val="en-IE"/>
        </w:rPr>
        <w:t>The ESPD</w:t>
      </w:r>
      <w:r w:rsidR="00D46853">
        <w:rPr>
          <w:rStyle w:val="FootnoteReference"/>
          <w:lang w:val="en-IE"/>
        </w:rPr>
        <w:footnoteReference w:id="61"/>
      </w:r>
      <w:r w:rsidRPr="0059550D">
        <w:rPr>
          <w:lang w:val="en-IE"/>
        </w:rPr>
        <w:t xml:space="preserve"> is an EU-wide form </w:t>
      </w:r>
      <w:r>
        <w:rPr>
          <w:lang w:val="en-IE"/>
        </w:rPr>
        <w:t xml:space="preserve">for </w:t>
      </w:r>
      <w:r w:rsidRPr="0059550D">
        <w:rPr>
          <w:lang w:val="en-IE"/>
        </w:rPr>
        <w:t>tenderer</w:t>
      </w:r>
      <w:r>
        <w:rPr>
          <w:lang w:val="en-IE"/>
        </w:rPr>
        <w:t>s</w:t>
      </w:r>
      <w:r w:rsidRPr="0059550D">
        <w:rPr>
          <w:lang w:val="en-IE"/>
        </w:rPr>
        <w:t xml:space="preserve"> to self-declare that </w:t>
      </w:r>
      <w:r>
        <w:rPr>
          <w:lang w:val="en-IE"/>
        </w:rPr>
        <w:t>they pass</w:t>
      </w:r>
      <w:r w:rsidRPr="0059550D">
        <w:rPr>
          <w:lang w:val="en-IE"/>
        </w:rPr>
        <w:t xml:space="preserve"> all selection criteria and exclusion grounds. Buyers in the EU are obliged to accept the ESPD and its electronic version is widely used</w:t>
      </w:r>
      <w:r w:rsidR="00D46853">
        <w:rPr>
          <w:rStyle w:val="FootnoteReference"/>
          <w:lang w:val="en-IE"/>
        </w:rPr>
        <w:footnoteReference w:id="62"/>
      </w:r>
      <w:r w:rsidRPr="0059550D">
        <w:rPr>
          <w:lang w:val="en-IE"/>
        </w:rPr>
        <w:t xml:space="preserve"> across the EU. The electronic version of the ESPD relies on an “ESPD </w:t>
      </w:r>
      <w:r w:rsidR="007A16DD">
        <w:rPr>
          <w:lang w:val="en-IE"/>
        </w:rPr>
        <w:t>request</w:t>
      </w:r>
      <w:r w:rsidRPr="0059550D">
        <w:rPr>
          <w:lang w:val="en-IE"/>
        </w:rPr>
        <w:t>” (an ESPD form published by the buyer) and an “ESPD response”, sent by the economic operator on the basis of the call</w:t>
      </w:r>
      <w:r w:rsidR="00E17EA1">
        <w:rPr>
          <w:lang w:val="en-IE"/>
        </w:rPr>
        <w:t xml:space="preserve"> </w:t>
      </w:r>
      <w:r w:rsidR="007A16DD">
        <w:rPr>
          <w:lang w:val="en-IE"/>
        </w:rPr>
        <w:t>request</w:t>
      </w:r>
      <w:r w:rsidRPr="0059550D">
        <w:rPr>
          <w:lang w:val="en-IE"/>
        </w:rPr>
        <w:t>.</w:t>
      </w:r>
    </w:p>
    <w:p w14:paraId="0B1F02EF" w14:textId="5909538B" w:rsidR="00760E39" w:rsidRPr="0059550D" w:rsidRDefault="00760E39" w:rsidP="00760E39">
      <w:pPr>
        <w:pStyle w:val="NoSpacing"/>
        <w:rPr>
          <w:lang w:val="en-IE"/>
        </w:rPr>
      </w:pPr>
    </w:p>
    <w:p w14:paraId="7E18B4DC" w14:textId="507AF0E6" w:rsidR="0003423C" w:rsidRDefault="00760E39" w:rsidP="00760E39">
      <w:pPr>
        <w:pStyle w:val="NoSpacing"/>
        <w:rPr>
          <w:lang w:val="en-IE"/>
        </w:rPr>
      </w:pPr>
      <w:r w:rsidRPr="0059550D">
        <w:rPr>
          <w:lang w:val="en-IE"/>
        </w:rPr>
        <w:t xml:space="preserve">Since eForms also contain information about selection criteria and exclusion grounds, the </w:t>
      </w:r>
      <w:r>
        <w:rPr>
          <w:lang w:val="en-IE"/>
        </w:rPr>
        <w:t xml:space="preserve">information in the </w:t>
      </w:r>
      <w:r w:rsidRPr="0059550D">
        <w:rPr>
          <w:lang w:val="en-IE"/>
        </w:rPr>
        <w:t xml:space="preserve">ESPD and eForms partially overlap. There are two ways </w:t>
      </w:r>
      <w:r w:rsidR="00A42F8C">
        <w:rPr>
          <w:lang w:val="en-IE"/>
        </w:rPr>
        <w:t>of</w:t>
      </w:r>
      <w:r w:rsidRPr="0059550D">
        <w:rPr>
          <w:lang w:val="en-IE"/>
        </w:rPr>
        <w:t xml:space="preserve"> approach</w:t>
      </w:r>
      <w:r w:rsidR="00A42F8C">
        <w:rPr>
          <w:lang w:val="en-IE"/>
        </w:rPr>
        <w:t>ing</w:t>
      </w:r>
      <w:r w:rsidRPr="0059550D">
        <w:rPr>
          <w:lang w:val="en-IE"/>
        </w:rPr>
        <w:t xml:space="preserve"> this:</w:t>
      </w:r>
    </w:p>
    <w:p w14:paraId="3FC03CF4" w14:textId="665A9411" w:rsidR="00760E39" w:rsidRPr="0059550D" w:rsidRDefault="00760E39" w:rsidP="00760E39">
      <w:pPr>
        <w:pStyle w:val="NoSpacing"/>
        <w:rPr>
          <w:lang w:val="en-IE"/>
        </w:rPr>
      </w:pPr>
    </w:p>
    <w:p w14:paraId="4CEF2F79" w14:textId="3C9589E0" w:rsidR="00760E39" w:rsidRPr="0059550D" w:rsidRDefault="009B34EA" w:rsidP="00F74F51">
      <w:pPr>
        <w:pStyle w:val="NoSpacing"/>
        <w:numPr>
          <w:ilvl w:val="0"/>
          <w:numId w:val="24"/>
        </w:numPr>
        <w:rPr>
          <w:lang w:val="en-IE"/>
        </w:rPr>
      </w:pPr>
      <w:r w:rsidRPr="0059550D">
        <w:rPr>
          <w:lang w:val="en-IE"/>
        </w:rPr>
        <w:t>In</w:t>
      </w:r>
      <w:r>
        <w:rPr>
          <w:lang w:val="en-IE"/>
        </w:rPr>
        <w:t>tegrate</w:t>
      </w:r>
      <w:r w:rsidR="00256F9D">
        <w:rPr>
          <w:lang w:val="en-IE"/>
        </w:rPr>
        <w:t xml:space="preserve"> </w:t>
      </w:r>
      <w:r w:rsidR="00760E39" w:rsidRPr="0059550D">
        <w:rPr>
          <w:lang w:val="en-IE"/>
        </w:rPr>
        <w:t xml:space="preserve">the ESPD </w:t>
      </w:r>
      <w:r>
        <w:rPr>
          <w:lang w:val="en-IE"/>
        </w:rPr>
        <w:t>request</w:t>
      </w:r>
      <w:r w:rsidR="00760E39" w:rsidRPr="0059550D">
        <w:rPr>
          <w:lang w:val="en-IE"/>
        </w:rPr>
        <w:t xml:space="preserve"> </w:t>
      </w:r>
      <w:r w:rsidR="00B353C3">
        <w:rPr>
          <w:lang w:val="en-IE"/>
        </w:rPr>
        <w:t xml:space="preserve">(Part III and Part IV) </w:t>
      </w:r>
      <w:r w:rsidR="00760E39" w:rsidRPr="0059550D">
        <w:rPr>
          <w:lang w:val="en-IE"/>
        </w:rPr>
        <w:t xml:space="preserve">in the </w:t>
      </w:r>
      <w:r>
        <w:rPr>
          <w:lang w:val="en-IE"/>
        </w:rPr>
        <w:t>eF</w:t>
      </w:r>
      <w:r w:rsidR="00760E39" w:rsidRPr="0059550D">
        <w:rPr>
          <w:lang w:val="en-IE"/>
        </w:rPr>
        <w:t>orm</w:t>
      </w:r>
      <w:r w:rsidR="00081BE0">
        <w:rPr>
          <w:lang w:val="en-IE"/>
        </w:rPr>
        <w:t>s</w:t>
      </w:r>
      <w:r w:rsidR="00760E39" w:rsidRPr="0059550D">
        <w:rPr>
          <w:lang w:val="en-IE"/>
        </w:rPr>
        <w:t>, where it can replace the fields on exclusion grounds and selection criteri</w:t>
      </w:r>
      <w:r w:rsidR="00D46853">
        <w:rPr>
          <w:lang w:val="en-IE"/>
        </w:rPr>
        <w:t>a</w:t>
      </w:r>
      <w:r w:rsidR="00D46853">
        <w:rPr>
          <w:rStyle w:val="FootnoteReference"/>
          <w:lang w:val="en-IE"/>
        </w:rPr>
        <w:footnoteReference w:id="63"/>
      </w:r>
      <w:r w:rsidR="00760E39" w:rsidRPr="0059550D">
        <w:rPr>
          <w:lang w:val="en-IE"/>
        </w:rPr>
        <w:t xml:space="preserve">. </w:t>
      </w:r>
    </w:p>
    <w:p w14:paraId="6286D24E" w14:textId="3107CE41" w:rsidR="00105E3B" w:rsidRPr="0059550D" w:rsidRDefault="00760E39" w:rsidP="00105E3B">
      <w:pPr>
        <w:pStyle w:val="NoSpacing"/>
        <w:numPr>
          <w:ilvl w:val="0"/>
          <w:numId w:val="24"/>
        </w:numPr>
        <w:rPr>
          <w:lang w:val="en-IE"/>
        </w:rPr>
      </w:pPr>
      <w:r w:rsidRPr="0059550D">
        <w:rPr>
          <w:lang w:val="en-IE"/>
        </w:rPr>
        <w:t xml:space="preserve">Continue using the ESPD and Competition forms in parallel. </w:t>
      </w:r>
      <w:r w:rsidR="00105E3B" w:rsidRPr="0059550D">
        <w:rPr>
          <w:lang w:val="en-IE"/>
        </w:rPr>
        <w:t xml:space="preserve">As far as possible, prefill one with the other (e.g. buyer &amp; procedure information). </w:t>
      </w:r>
    </w:p>
    <w:p w14:paraId="1EEB05BD" w14:textId="13805FF8" w:rsidR="00760E39" w:rsidRPr="0059550D" w:rsidRDefault="00760E39" w:rsidP="00F74F51">
      <w:pPr>
        <w:pStyle w:val="NoSpacing"/>
        <w:rPr>
          <w:lang w:val="en-IE"/>
        </w:rPr>
      </w:pPr>
    </w:p>
    <w:p w14:paraId="3947E419" w14:textId="228B8818" w:rsidR="00760E39" w:rsidRDefault="00760E39" w:rsidP="00760E39">
      <w:pPr>
        <w:pStyle w:val="NoSpacing"/>
        <w:rPr>
          <w:lang w:val="en-IE"/>
        </w:rPr>
      </w:pPr>
      <w:r w:rsidRPr="0059550D">
        <w:rPr>
          <w:lang w:val="en-IE"/>
        </w:rPr>
        <w:t xml:space="preserve">The </w:t>
      </w:r>
      <w:r>
        <w:rPr>
          <w:lang w:val="en-IE"/>
        </w:rPr>
        <w:t xml:space="preserve">first </w:t>
      </w:r>
      <w:r w:rsidRPr="0059550D">
        <w:rPr>
          <w:lang w:val="en-IE"/>
        </w:rPr>
        <w:t>approach has two major advantages: there is no duplication of information and the information in the ESPD can be used when searching on TED for procurement procedures</w:t>
      </w:r>
      <w:r>
        <w:rPr>
          <w:lang w:val="en-IE"/>
        </w:rPr>
        <w:t xml:space="preserve"> -</w:t>
      </w:r>
      <w:r w:rsidRPr="0059550D">
        <w:rPr>
          <w:lang w:val="en-IE"/>
        </w:rPr>
        <w:t xml:space="preserve"> for </w:t>
      </w:r>
      <w:r w:rsidRPr="0059550D">
        <w:rPr>
          <w:lang w:val="en-IE"/>
        </w:rPr>
        <w:lastRenderedPageBreak/>
        <w:t>example, a</w:t>
      </w:r>
      <w:r>
        <w:rPr>
          <w:lang w:val="en-IE"/>
        </w:rPr>
        <w:t>n</w:t>
      </w:r>
      <w:r w:rsidRPr="0059550D">
        <w:rPr>
          <w:lang w:val="en-IE"/>
        </w:rPr>
        <w:t xml:space="preserve"> SME can filter out any procedure where turnover requirements are too large. The latter approach may require </w:t>
      </w:r>
      <w:r w:rsidR="00A42F8C">
        <w:rPr>
          <w:lang w:val="en-IE"/>
        </w:rPr>
        <w:t>fewer</w:t>
      </w:r>
      <w:r w:rsidRPr="0059550D">
        <w:rPr>
          <w:lang w:val="en-IE"/>
        </w:rPr>
        <w:t xml:space="preserve"> changes to existing systems and can also be useful in countries with a limited use of the ESPD.</w:t>
      </w:r>
      <w:r w:rsidR="00BD2845">
        <w:rPr>
          <w:lang w:val="en-IE"/>
        </w:rPr>
        <w:t xml:space="preserve"> </w:t>
      </w:r>
    </w:p>
    <w:p w14:paraId="2BB5CBB5" w14:textId="77777777" w:rsidR="00105E3B" w:rsidRDefault="00105E3B" w:rsidP="00760E39">
      <w:pPr>
        <w:pStyle w:val="NoSpacing"/>
        <w:rPr>
          <w:lang w:val="en-IE"/>
        </w:rPr>
      </w:pPr>
    </w:p>
    <w:p w14:paraId="76A0CF3E" w14:textId="16ECB569" w:rsidR="00B8665C" w:rsidRPr="0059550D" w:rsidRDefault="00A42F8C" w:rsidP="00760E39">
      <w:pPr>
        <w:pStyle w:val="NoSpacing"/>
        <w:rPr>
          <w:lang w:val="en-IE"/>
        </w:rPr>
      </w:pPr>
      <w:r>
        <w:rPr>
          <w:lang w:val="en-IE"/>
        </w:rPr>
        <w:t xml:space="preserve">The </w:t>
      </w:r>
      <w:r w:rsidR="00B8665C" w:rsidRPr="0009261A">
        <w:rPr>
          <w:lang w:val="en-IE"/>
        </w:rPr>
        <w:t>eForms Implementing Regulation</w:t>
      </w:r>
      <w:r w:rsidR="00B8665C">
        <w:rPr>
          <w:lang w:val="en-IE"/>
        </w:rPr>
        <w:t xml:space="preserve"> </w:t>
      </w:r>
      <w:r w:rsidR="00256F9D">
        <w:rPr>
          <w:lang w:val="en-IE"/>
        </w:rPr>
        <w:t xml:space="preserve">foresees that </w:t>
      </w:r>
      <w:r w:rsidR="00B8665C">
        <w:rPr>
          <w:lang w:val="en-IE"/>
        </w:rPr>
        <w:t>“</w:t>
      </w:r>
      <w:r w:rsidR="00B8665C" w:rsidRPr="0009261A">
        <w:rPr>
          <w:lang w:val="en-IE"/>
        </w:rPr>
        <w:t xml:space="preserve">any standard form or notice may contain fields from the European Single Procurement Document established by the Commission Implementing Regulation (EU) 2016/7 (1)”. </w:t>
      </w:r>
      <w:r w:rsidR="00B8665C">
        <w:rPr>
          <w:lang w:val="en-IE"/>
        </w:rPr>
        <w:t xml:space="preserve">The Publications Office will address this </w:t>
      </w:r>
      <w:r w:rsidR="00B8665C" w:rsidRPr="00256F9D">
        <w:rPr>
          <w:lang w:val="en-IE"/>
        </w:rPr>
        <w:t>requirement</w:t>
      </w:r>
      <w:r w:rsidR="00B8665C" w:rsidRPr="00756E42">
        <w:rPr>
          <w:lang w:val="en-IE"/>
        </w:rPr>
        <w:t xml:space="preserve"> once the work on the forms and notices foreseen in the eForms Implementing Regulation is completed.</w:t>
      </w:r>
      <w:r w:rsidR="00B8665C">
        <w:rPr>
          <w:lang w:val="en-IE"/>
        </w:rPr>
        <w:t xml:space="preserve"> </w:t>
      </w:r>
    </w:p>
    <w:p w14:paraId="16067504" w14:textId="77777777" w:rsidR="00760E39" w:rsidRPr="0059550D" w:rsidRDefault="00760E39" w:rsidP="00760E39">
      <w:pPr>
        <w:pStyle w:val="Heading4"/>
        <w:rPr>
          <w:lang w:val="en-IE"/>
        </w:rPr>
      </w:pPr>
      <w:r w:rsidRPr="0059550D">
        <w:rPr>
          <w:lang w:val="en-IE"/>
        </w:rPr>
        <w:t>eInvoicing</w:t>
      </w:r>
    </w:p>
    <w:p w14:paraId="10C3DD71" w14:textId="77777777" w:rsidR="00760E39" w:rsidRPr="0059550D" w:rsidRDefault="00760E39" w:rsidP="00760E39">
      <w:pPr>
        <w:pStyle w:val="NoSpacing"/>
        <w:rPr>
          <w:lang w:val="en-IE"/>
        </w:rPr>
      </w:pPr>
    </w:p>
    <w:p w14:paraId="4512FA5D" w14:textId="44BA2578" w:rsidR="00760E39" w:rsidRPr="0059550D" w:rsidRDefault="00760E39" w:rsidP="00760E39">
      <w:pPr>
        <w:pStyle w:val="NoSpacing"/>
        <w:rPr>
          <w:lang w:val="en-IE"/>
        </w:rPr>
      </w:pPr>
      <w:r w:rsidRPr="0059550D">
        <w:rPr>
          <w:lang w:val="en-IE"/>
        </w:rPr>
        <w:t>The format of eInvoices is set by an EU-wide data standard</w:t>
      </w:r>
      <w:r w:rsidRPr="0059550D">
        <w:rPr>
          <w:rStyle w:val="FootnoteReference"/>
          <w:lang w:val="en-IE"/>
        </w:rPr>
        <w:footnoteReference w:id="64"/>
      </w:r>
      <w:r w:rsidRPr="0059550D">
        <w:rPr>
          <w:lang w:val="en-IE"/>
        </w:rPr>
        <w:t>. eInvoic</w:t>
      </w:r>
      <w:r w:rsidR="00913D72">
        <w:rPr>
          <w:lang w:val="en-IE"/>
        </w:rPr>
        <w:t>ing generally</w:t>
      </w:r>
      <w:r w:rsidRPr="0059550D">
        <w:rPr>
          <w:lang w:val="en-IE"/>
        </w:rPr>
        <w:t xml:space="preserve"> takes place after the last eForm is used (a Result form or a Modification form). Interconnecting eForm and eInvoicing data allows tracking a procedure in more detail and, in particular, comparing contracted and invoiced values. </w:t>
      </w:r>
    </w:p>
    <w:p w14:paraId="041B921D" w14:textId="77777777" w:rsidR="00760E39" w:rsidRPr="0059550D" w:rsidRDefault="00760E39" w:rsidP="00760E39">
      <w:pPr>
        <w:pStyle w:val="NoSpacing"/>
        <w:rPr>
          <w:lang w:val="en-IE"/>
        </w:rPr>
      </w:pPr>
    </w:p>
    <w:p w14:paraId="30C10B39" w14:textId="77777777" w:rsidR="00760E39" w:rsidRPr="0059550D" w:rsidRDefault="00760E39" w:rsidP="00760E39">
      <w:pPr>
        <w:pStyle w:val="NoSpacing"/>
        <w:rPr>
          <w:lang w:val="en-IE"/>
        </w:rPr>
      </w:pPr>
      <w:r w:rsidRPr="0059550D">
        <w:rPr>
          <w:lang w:val="en-IE"/>
        </w:rPr>
        <w:t>There are the following relationships between the eInvoicing standard and eForms:</w:t>
      </w:r>
    </w:p>
    <w:p w14:paraId="78D85562" w14:textId="77777777" w:rsidR="00760E39" w:rsidRPr="0059550D" w:rsidRDefault="00760E39" w:rsidP="00760E39">
      <w:pPr>
        <w:pStyle w:val="NoSpacing"/>
        <w:numPr>
          <w:ilvl w:val="0"/>
          <w:numId w:val="25"/>
        </w:numPr>
        <w:rPr>
          <w:lang w:val="en-IE"/>
        </w:rPr>
      </w:pPr>
      <w:r w:rsidRPr="0059550D">
        <w:rPr>
          <w:lang w:val="en-IE"/>
        </w:rPr>
        <w:t xml:space="preserve">The data can be interconnected using eInvoicing’s Contract Reference (BT-12) being equal to eForms’ Contract Identifier (BT-150) in the contract award notice. </w:t>
      </w:r>
    </w:p>
    <w:p w14:paraId="1E507BFA" w14:textId="77777777" w:rsidR="00760E39" w:rsidRPr="0059550D" w:rsidRDefault="00760E39" w:rsidP="00760E39">
      <w:pPr>
        <w:pStyle w:val="NoSpacing"/>
        <w:numPr>
          <w:ilvl w:val="0"/>
          <w:numId w:val="25"/>
        </w:numPr>
        <w:rPr>
          <w:lang w:val="en-IE"/>
        </w:rPr>
      </w:pPr>
      <w:r w:rsidRPr="0059550D">
        <w:rPr>
          <w:lang w:val="en-IE"/>
        </w:rPr>
        <w:t>The eInvoicing data on Seller (BG-4), Buyer (BG-7) and Payee (BG-10) can be prefilled on the basis of eForms’ Organisation (BG-703)</w:t>
      </w:r>
      <w:r w:rsidRPr="0059550D">
        <w:rPr>
          <w:rStyle w:val="FootnoteReference"/>
          <w:lang w:val="en-IE"/>
        </w:rPr>
        <w:footnoteReference w:id="65"/>
      </w:r>
      <w:r w:rsidRPr="0059550D">
        <w:rPr>
          <w:lang w:val="en-IE"/>
        </w:rPr>
        <w:t xml:space="preserve">. </w:t>
      </w:r>
    </w:p>
    <w:p w14:paraId="10B0E48A" w14:textId="42AA1ED3" w:rsidR="00760E39" w:rsidRPr="0059550D" w:rsidRDefault="00760E39" w:rsidP="00760E39">
      <w:pPr>
        <w:pStyle w:val="NoSpacing"/>
        <w:numPr>
          <w:ilvl w:val="0"/>
          <w:numId w:val="25"/>
        </w:numPr>
        <w:rPr>
          <w:lang w:val="en-IE"/>
        </w:rPr>
      </w:pPr>
      <w:r w:rsidRPr="0059550D">
        <w:rPr>
          <w:lang w:val="en-IE"/>
        </w:rPr>
        <w:t xml:space="preserve">eInvoicing </w:t>
      </w:r>
      <w:r>
        <w:rPr>
          <w:lang w:val="en-IE"/>
        </w:rPr>
        <w:t xml:space="preserve">monetary </w:t>
      </w:r>
      <w:r w:rsidRPr="0059550D">
        <w:rPr>
          <w:lang w:val="en-IE"/>
        </w:rPr>
        <w:t xml:space="preserve">values are distinct from the contract completion form’s </w:t>
      </w:r>
      <w:r>
        <w:rPr>
          <w:lang w:val="en-IE"/>
        </w:rPr>
        <w:t xml:space="preserve">monetary </w:t>
      </w:r>
      <w:r w:rsidRPr="0059550D">
        <w:rPr>
          <w:lang w:val="en-IE"/>
        </w:rPr>
        <w:t xml:space="preserve">values. The former are those </w:t>
      </w:r>
      <w:r>
        <w:rPr>
          <w:lang w:val="en-IE"/>
        </w:rPr>
        <w:t>invoice</w:t>
      </w:r>
      <w:r w:rsidR="00A42F8C">
        <w:rPr>
          <w:lang w:val="en-IE"/>
        </w:rPr>
        <w:t>d</w:t>
      </w:r>
      <w:r w:rsidRPr="0059550D">
        <w:rPr>
          <w:lang w:val="en-IE"/>
        </w:rPr>
        <w:t xml:space="preserve">, the latter </w:t>
      </w:r>
      <w:r w:rsidR="00A42F8C">
        <w:rPr>
          <w:lang w:val="en-IE"/>
        </w:rPr>
        <w:t xml:space="preserve">are the ones </w:t>
      </w:r>
      <w:r w:rsidRPr="0059550D">
        <w:rPr>
          <w:lang w:val="en-IE"/>
        </w:rPr>
        <w:t>actually paid. They may differ, for example, in cases of</w:t>
      </w:r>
      <w:r>
        <w:rPr>
          <w:lang w:val="en-IE"/>
        </w:rPr>
        <w:t xml:space="preserve"> penalties because of</w:t>
      </w:r>
      <w:r w:rsidRPr="0059550D">
        <w:rPr>
          <w:lang w:val="en-IE"/>
        </w:rPr>
        <w:t xml:space="preserve"> late payment by the buyer. </w:t>
      </w:r>
    </w:p>
    <w:p w14:paraId="6D3C36E1" w14:textId="77777777" w:rsidR="00760E39" w:rsidRPr="0059550D" w:rsidRDefault="00760E39" w:rsidP="00760E39">
      <w:pPr>
        <w:pStyle w:val="Heading4"/>
        <w:rPr>
          <w:lang w:val="en-IE"/>
        </w:rPr>
      </w:pPr>
      <w:r w:rsidRPr="0059550D">
        <w:rPr>
          <w:lang w:val="en-IE"/>
        </w:rPr>
        <w:t xml:space="preserve">Other eProcurement phases </w:t>
      </w:r>
    </w:p>
    <w:p w14:paraId="3A125125" w14:textId="77777777" w:rsidR="00760E39" w:rsidRPr="0059550D" w:rsidRDefault="00760E39" w:rsidP="00760E39">
      <w:pPr>
        <w:pStyle w:val="NoSpacing"/>
        <w:rPr>
          <w:lang w:val="en-IE"/>
        </w:rPr>
      </w:pPr>
    </w:p>
    <w:p w14:paraId="6BBFD892" w14:textId="77777777" w:rsidR="00760E39" w:rsidRPr="0059550D" w:rsidRDefault="00760E39" w:rsidP="00760E39">
      <w:pPr>
        <w:pStyle w:val="NoSpacing"/>
        <w:rPr>
          <w:lang w:val="en-IE"/>
        </w:rPr>
      </w:pPr>
      <w:r w:rsidRPr="0059550D">
        <w:rPr>
          <w:lang w:val="en-IE"/>
        </w:rPr>
        <w:t>The majority of information in a Competition form summarizes the procurement documents</w:t>
      </w:r>
      <w:r w:rsidRPr="0059550D">
        <w:rPr>
          <w:rStyle w:val="FootnoteReference"/>
          <w:lang w:val="en-IE"/>
        </w:rPr>
        <w:footnoteReference w:id="66"/>
      </w:r>
      <w:r w:rsidRPr="0059550D">
        <w:rPr>
          <w:lang w:val="en-IE"/>
        </w:rPr>
        <w:t xml:space="preserve"> (or an equivalent procurement planning and management system). Prefilling these fields requires that procurement documents are to a large degree drafted as structured data. </w:t>
      </w:r>
    </w:p>
    <w:p w14:paraId="39E45AF7" w14:textId="77777777" w:rsidR="00760E39" w:rsidRPr="0059550D" w:rsidRDefault="00760E39" w:rsidP="00760E39">
      <w:pPr>
        <w:pStyle w:val="NoSpacing"/>
        <w:rPr>
          <w:lang w:val="en-IE"/>
        </w:rPr>
      </w:pPr>
    </w:p>
    <w:p w14:paraId="08828E60" w14:textId="77777777" w:rsidR="00760E39" w:rsidRPr="0059550D" w:rsidRDefault="00760E39" w:rsidP="00760E39">
      <w:pPr>
        <w:pStyle w:val="NoSpacing"/>
        <w:rPr>
          <w:lang w:val="en-IE"/>
        </w:rPr>
      </w:pPr>
      <w:r w:rsidRPr="0059550D">
        <w:rPr>
          <w:lang w:val="en-IE"/>
        </w:rPr>
        <w:t xml:space="preserve">The majority of the result form repeats the competition form. Additionally, several types of information can come from different eProcurement phases: </w:t>
      </w:r>
    </w:p>
    <w:p w14:paraId="139CA7C8" w14:textId="77777777" w:rsidR="00760E39" w:rsidRPr="0059550D" w:rsidRDefault="00760E39" w:rsidP="00760E39">
      <w:pPr>
        <w:pStyle w:val="NoSpacing"/>
        <w:numPr>
          <w:ilvl w:val="0"/>
          <w:numId w:val="25"/>
        </w:numPr>
        <w:rPr>
          <w:lang w:val="en-IE"/>
        </w:rPr>
      </w:pPr>
      <w:r w:rsidRPr="0059550D">
        <w:rPr>
          <w:lang w:val="en-IE"/>
        </w:rPr>
        <w:t xml:space="preserve">eSubmission modules, as long as they collect certain structured data on submitted tenders, can prefill different parts of Notice Result (BG-7), in particular BG-712 (Received Submissions). </w:t>
      </w:r>
    </w:p>
    <w:p w14:paraId="7BDD7241" w14:textId="77777777" w:rsidR="00760E39" w:rsidRPr="0059550D" w:rsidRDefault="00760E39" w:rsidP="00760E39">
      <w:pPr>
        <w:pStyle w:val="NoSpacing"/>
        <w:numPr>
          <w:ilvl w:val="0"/>
          <w:numId w:val="25"/>
        </w:numPr>
        <w:rPr>
          <w:lang w:val="en-IE"/>
        </w:rPr>
      </w:pPr>
      <w:r w:rsidRPr="0059550D">
        <w:rPr>
          <w:lang w:val="en-IE"/>
        </w:rPr>
        <w:t>eEvaluation modules can prefill most fields in Tender (BG-320) .</w:t>
      </w:r>
    </w:p>
    <w:p w14:paraId="79751634" w14:textId="77777777" w:rsidR="00760E39" w:rsidRPr="0059550D" w:rsidRDefault="00760E39" w:rsidP="00760E39">
      <w:pPr>
        <w:pStyle w:val="NoSpacing"/>
        <w:numPr>
          <w:ilvl w:val="0"/>
          <w:numId w:val="25"/>
        </w:numPr>
        <w:rPr>
          <w:lang w:val="en-IE"/>
        </w:rPr>
      </w:pPr>
      <w:r w:rsidRPr="0059550D">
        <w:rPr>
          <w:lang w:val="en-IE"/>
        </w:rPr>
        <w:t>eContract modul</w:t>
      </w:r>
      <w:r>
        <w:rPr>
          <w:lang w:val="en-IE"/>
        </w:rPr>
        <w:t>e</w:t>
      </w:r>
      <w:r w:rsidRPr="0059550D">
        <w:rPr>
          <w:lang w:val="en-IE"/>
        </w:rPr>
        <w:t>s can prefill most fields in Contract (BG-310).</w:t>
      </w:r>
    </w:p>
    <w:p w14:paraId="1BE1CCFE" w14:textId="77777777" w:rsidR="00760E39" w:rsidRPr="0059550D" w:rsidRDefault="00760E39" w:rsidP="00760E39">
      <w:pPr>
        <w:pStyle w:val="NoSpacing"/>
        <w:numPr>
          <w:ilvl w:val="0"/>
          <w:numId w:val="25"/>
        </w:numPr>
        <w:rPr>
          <w:lang w:val="en-IE"/>
        </w:rPr>
      </w:pPr>
      <w:r w:rsidRPr="0059550D">
        <w:rPr>
          <w:lang w:val="en-IE"/>
        </w:rPr>
        <w:t>e</w:t>
      </w:r>
      <w:r>
        <w:rPr>
          <w:lang w:val="en-IE"/>
        </w:rPr>
        <w:t>Remedy modules are the source of data for Review (BG-714), which is part of the contract completion notice.</w:t>
      </w:r>
    </w:p>
    <w:p w14:paraId="4081E8BE" w14:textId="77777777" w:rsidR="00760E39" w:rsidRPr="0059550D" w:rsidRDefault="00760E39" w:rsidP="00760E39">
      <w:pPr>
        <w:pStyle w:val="NoSpacing"/>
        <w:rPr>
          <w:lang w:val="en-IE"/>
        </w:rPr>
      </w:pPr>
    </w:p>
    <w:p w14:paraId="52CA8AE7" w14:textId="536EA5AE" w:rsidR="00760E39" w:rsidRPr="0059550D" w:rsidRDefault="00760E39" w:rsidP="00760E39">
      <w:pPr>
        <w:pStyle w:val="NoSpacing"/>
        <w:rPr>
          <w:lang w:val="en-IE"/>
        </w:rPr>
      </w:pPr>
      <w:r w:rsidRPr="0059550D">
        <w:rPr>
          <w:lang w:val="en-IE"/>
        </w:rPr>
        <w:t>Furthermore, according to the directives</w:t>
      </w:r>
      <w:r w:rsidRPr="0059550D">
        <w:rPr>
          <w:rStyle w:val="FootnoteReference"/>
          <w:lang w:val="en-IE"/>
        </w:rPr>
        <w:footnoteReference w:id="67"/>
      </w:r>
      <w:r w:rsidRPr="0059550D">
        <w:rPr>
          <w:lang w:val="en-IE"/>
        </w:rPr>
        <w:t xml:space="preserve">, buyers must prepare an individual report on procedures for the award of contracts. This written report must contain various information – as long as that information is not already published in the contract award notice. eForms always replace points a, f, </w:t>
      </w:r>
      <w:r w:rsidRPr="0059550D">
        <w:rPr>
          <w:lang w:val="en-IE"/>
        </w:rPr>
        <w:lastRenderedPageBreak/>
        <w:t xml:space="preserve">g and h of paragraph 1, but not b, c, e, and i. 1(d) is covered with the exception of “reasons for the tender being selected”, i.e. the result of the evaluation.  Given this overlap, the procurement report should either exclude the information from the contract award notice, or should be prefilled with the information from the contract award notice (that way all </w:t>
      </w:r>
      <w:r>
        <w:rPr>
          <w:lang w:val="en-IE"/>
        </w:rPr>
        <w:t xml:space="preserve">the </w:t>
      </w:r>
      <w:r w:rsidRPr="0059550D">
        <w:rPr>
          <w:lang w:val="en-IE"/>
        </w:rPr>
        <w:t xml:space="preserve">information is in one place). </w:t>
      </w:r>
    </w:p>
    <w:p w14:paraId="3F3F9D81" w14:textId="686FAFD9" w:rsidR="00760E39" w:rsidRPr="0059550D" w:rsidRDefault="00760E39" w:rsidP="005C05DD">
      <w:pPr>
        <w:pStyle w:val="Heading3"/>
        <w:rPr>
          <w:lang w:val="en-IE"/>
        </w:rPr>
      </w:pPr>
      <w:bookmarkStart w:id="66" w:name="_Toc25684100"/>
      <w:r w:rsidRPr="0059550D">
        <w:rPr>
          <w:lang w:val="en-IE"/>
        </w:rPr>
        <w:t>eGovernment systems</w:t>
      </w:r>
      <w:bookmarkEnd w:id="66"/>
    </w:p>
    <w:p w14:paraId="068A32B0" w14:textId="77777777" w:rsidR="00760E39" w:rsidRPr="0059550D" w:rsidRDefault="00760E39" w:rsidP="00760E39">
      <w:pPr>
        <w:pStyle w:val="NoSpacing"/>
        <w:rPr>
          <w:lang w:val="en-IE"/>
        </w:rPr>
      </w:pPr>
    </w:p>
    <w:p w14:paraId="34EECAB2" w14:textId="680DB4C6" w:rsidR="002F75CB" w:rsidRDefault="00760E39" w:rsidP="00760E39">
      <w:pPr>
        <w:pStyle w:val="NoSpacing"/>
        <w:rPr>
          <w:lang w:val="en-IE"/>
        </w:rPr>
      </w:pPr>
      <w:r w:rsidRPr="0059550D">
        <w:rPr>
          <w:lang w:val="en-IE"/>
        </w:rPr>
        <w:t xml:space="preserve">eForms not only draw on information from eProcurement, but also from other eGovernement systems. Most importantly, connecting eProcurement systems to business registries leads to a significant reduction of </w:t>
      </w:r>
      <w:r>
        <w:rPr>
          <w:lang w:val="en-IE"/>
        </w:rPr>
        <w:t xml:space="preserve">administrative burden </w:t>
      </w:r>
      <w:r w:rsidRPr="0059550D">
        <w:rPr>
          <w:lang w:val="en-IE"/>
        </w:rPr>
        <w:t xml:space="preserve">and increase in data quality. Furthermore, there are particular links with systems responsible for beneficial ownership registries established under Art. </w:t>
      </w:r>
      <w:r>
        <w:rPr>
          <w:lang w:val="en-IE"/>
        </w:rPr>
        <w:t xml:space="preserve">30(3) of </w:t>
      </w:r>
      <w:r w:rsidRPr="00395290">
        <w:rPr>
          <w:lang w:val="en-IE"/>
        </w:rPr>
        <w:t>Directive (EU) 2018/843</w:t>
      </w:r>
      <w:r>
        <w:rPr>
          <w:rStyle w:val="FootnoteReference"/>
          <w:lang w:val="en-IE"/>
        </w:rPr>
        <w:footnoteReference w:id="68"/>
      </w:r>
      <w:r>
        <w:rPr>
          <w:rFonts w:ascii="Segoe UI" w:hAnsi="Segoe UI" w:cs="Segoe UI"/>
          <w:color w:val="24292E"/>
          <w:sz w:val="21"/>
          <w:szCs w:val="21"/>
          <w:shd w:val="clear" w:color="auto" w:fill="FFFFFF"/>
        </w:rPr>
        <w:t xml:space="preserve"> (</w:t>
      </w:r>
      <w:r w:rsidRPr="0059550D">
        <w:rPr>
          <w:lang w:val="en-IE"/>
        </w:rPr>
        <w:t xml:space="preserve">in most countries, these are part of business registries) and systems responsible for EU funds. </w:t>
      </w:r>
    </w:p>
    <w:p w14:paraId="6A215FB6" w14:textId="26D894BD" w:rsidR="00B1117D" w:rsidRPr="0059550D" w:rsidRDefault="00B1117D" w:rsidP="00B1117D">
      <w:pPr>
        <w:pStyle w:val="Heading4"/>
        <w:numPr>
          <w:ilvl w:val="0"/>
          <w:numId w:val="0"/>
        </w:numPr>
        <w:rPr>
          <w:lang w:val="en-IE"/>
        </w:rPr>
      </w:pPr>
      <w:r>
        <w:rPr>
          <w:lang w:val="en-IE"/>
        </w:rPr>
        <w:t>4.1.3.1 Business registries</w:t>
      </w:r>
      <w:r w:rsidRPr="0059550D">
        <w:rPr>
          <w:lang w:val="en-IE"/>
        </w:rPr>
        <w:t xml:space="preserve"> </w:t>
      </w:r>
    </w:p>
    <w:p w14:paraId="080296AC" w14:textId="7A17E8B7" w:rsidR="00760E39" w:rsidRPr="0059550D" w:rsidRDefault="00760E39" w:rsidP="00760E39">
      <w:pPr>
        <w:pStyle w:val="NoSpacing"/>
        <w:rPr>
          <w:lang w:val="en-IE"/>
        </w:rPr>
      </w:pPr>
      <w:r w:rsidRPr="0059550D">
        <w:rPr>
          <w:lang w:val="en-IE"/>
        </w:rPr>
        <w:t xml:space="preserve">Business registries provide an official source of all information about buyers and economic operators. An interconnection with a business register can, for example, allow buyer/economic operators to only submit their organisation identifier and the notice being prefilled </w:t>
      </w:r>
      <w:r w:rsidR="00A42F8C">
        <w:rPr>
          <w:lang w:val="en-IE"/>
        </w:rPr>
        <w:t>with</w:t>
      </w:r>
      <w:r w:rsidRPr="0059550D">
        <w:rPr>
          <w:lang w:val="en-IE"/>
        </w:rPr>
        <w:t xml:space="preserve"> all the official relevant information about the company. For more information about the importance of organisation identifiers, please see section </w:t>
      </w:r>
      <w:r w:rsidRPr="0059550D">
        <w:rPr>
          <w:lang w:val="en-IE"/>
        </w:rPr>
        <w:fldChar w:fldCharType="begin"/>
      </w:r>
      <w:r w:rsidRPr="0059550D">
        <w:rPr>
          <w:lang w:val="en-IE"/>
        </w:rPr>
        <w:instrText xml:space="preserve"> REF _Ref20131998 \r \h </w:instrText>
      </w:r>
      <w:r w:rsidRPr="0059550D">
        <w:rPr>
          <w:lang w:val="en-IE"/>
        </w:rPr>
      </w:r>
      <w:r w:rsidRPr="0059550D">
        <w:rPr>
          <w:lang w:val="en-IE"/>
        </w:rPr>
        <w:fldChar w:fldCharType="separate"/>
      </w:r>
      <w:r w:rsidR="00031242">
        <w:rPr>
          <w:lang w:val="en-IE"/>
        </w:rPr>
        <w:t>3.7.1</w:t>
      </w:r>
      <w:r w:rsidRPr="0059550D">
        <w:rPr>
          <w:lang w:val="en-IE"/>
        </w:rPr>
        <w:fldChar w:fldCharType="end"/>
      </w:r>
      <w:r w:rsidRPr="0059550D">
        <w:rPr>
          <w:lang w:val="en-IE"/>
        </w:rPr>
        <w:t>.</w:t>
      </w:r>
    </w:p>
    <w:p w14:paraId="665B07D8" w14:textId="5908E79F" w:rsidR="00760E39" w:rsidRPr="0059550D" w:rsidRDefault="00B1117D" w:rsidP="005C05DD">
      <w:pPr>
        <w:pStyle w:val="Heading4"/>
        <w:numPr>
          <w:ilvl w:val="0"/>
          <w:numId w:val="0"/>
        </w:numPr>
        <w:rPr>
          <w:lang w:val="en-IE"/>
        </w:rPr>
      </w:pPr>
      <w:r>
        <w:rPr>
          <w:lang w:val="en-IE"/>
        </w:rPr>
        <w:t xml:space="preserve">4.1.3.2 </w:t>
      </w:r>
      <w:r w:rsidR="00760E39" w:rsidRPr="0059550D">
        <w:rPr>
          <w:lang w:val="en-IE"/>
        </w:rPr>
        <w:t xml:space="preserve">Beneficial ownership registries </w:t>
      </w:r>
    </w:p>
    <w:p w14:paraId="7D2B8BD7" w14:textId="526DB256" w:rsidR="00760E39" w:rsidRPr="0059550D" w:rsidRDefault="00760E39" w:rsidP="00760E39">
      <w:pPr>
        <w:rPr>
          <w:rFonts w:cstheme="minorHAnsi"/>
          <w:lang w:val="en-IE"/>
        </w:rPr>
      </w:pPr>
      <w:r w:rsidRPr="0059550D">
        <w:rPr>
          <w:lang w:val="en-IE"/>
        </w:rPr>
        <w:t xml:space="preserve">Business registries provide information about the ownership of contractors – or any other economic operators.  </w:t>
      </w:r>
      <w:r w:rsidRPr="0059550D">
        <w:rPr>
          <w:rFonts w:cstheme="minorHAnsi"/>
          <w:lang w:val="en-IE"/>
        </w:rPr>
        <w:t>These registries should be freely publicly available by 2020 under the latest Anti-Money Laundering Directive</w:t>
      </w:r>
      <w:r w:rsidR="007911B9">
        <w:rPr>
          <w:rStyle w:val="FootnoteReference"/>
          <w:rFonts w:cstheme="minorHAnsi"/>
          <w:lang w:val="en-IE"/>
        </w:rPr>
        <w:footnoteReference w:id="69"/>
      </w:r>
      <w:r w:rsidRPr="0059550D">
        <w:rPr>
          <w:rFonts w:cstheme="minorHAnsi"/>
          <w:lang w:val="en-IE"/>
        </w:rPr>
        <w:t xml:space="preserve">. </w:t>
      </w:r>
    </w:p>
    <w:p w14:paraId="0AA0AE65" w14:textId="77777777" w:rsidR="00760E39" w:rsidRPr="0059550D" w:rsidRDefault="00760E39" w:rsidP="00760E39">
      <w:pPr>
        <w:pStyle w:val="NoSpacing"/>
        <w:rPr>
          <w:lang w:val="en-IE"/>
        </w:rPr>
      </w:pPr>
    </w:p>
    <w:p w14:paraId="514F12C3" w14:textId="1FBA0228" w:rsidR="00760E39" w:rsidRPr="0059550D" w:rsidRDefault="00760E39" w:rsidP="00760E39">
      <w:pPr>
        <w:pStyle w:val="NoSpacing"/>
        <w:rPr>
          <w:lang w:val="en-IE"/>
        </w:rPr>
      </w:pPr>
      <w:r w:rsidRPr="0059550D">
        <w:rPr>
          <w:lang w:val="en-IE"/>
        </w:rPr>
        <w:t xml:space="preserve">The business registry information can be used in two ways, both discussed in </w:t>
      </w:r>
      <w:r w:rsidR="008E2CF5">
        <w:rPr>
          <w:lang w:val="en-IE"/>
        </w:rPr>
        <w:t>Checklist 1 – Tailoring fields</w:t>
      </w:r>
      <w:r w:rsidRPr="0059550D">
        <w:rPr>
          <w:lang w:val="en-IE"/>
        </w:rPr>
        <w:t>:</w:t>
      </w:r>
    </w:p>
    <w:p w14:paraId="618F93E9" w14:textId="3DF188B4" w:rsidR="00760E39" w:rsidRPr="00E82E10" w:rsidRDefault="00760E39" w:rsidP="00E82E10">
      <w:pPr>
        <w:pStyle w:val="NoSpacing"/>
        <w:numPr>
          <w:ilvl w:val="0"/>
          <w:numId w:val="25"/>
        </w:numPr>
        <w:rPr>
          <w:lang w:val="en-IE"/>
        </w:rPr>
      </w:pPr>
      <w:r w:rsidRPr="0059550D">
        <w:rPr>
          <w:lang w:val="en-IE"/>
        </w:rPr>
        <w:t xml:space="preserve">Only providing information about the nationality of the winners’ beneficiary owners (see discussion in </w:t>
      </w:r>
      <w:r w:rsidR="00E82E10">
        <w:rPr>
          <w:lang w:val="en-IE"/>
        </w:rPr>
        <w:t>‘</w:t>
      </w:r>
      <w:r w:rsidRPr="0059550D">
        <w:rPr>
          <w:lang w:val="en-IE"/>
        </w:rPr>
        <w:t>Winner Owner Nationality</w:t>
      </w:r>
      <w:r w:rsidR="00E82E10">
        <w:rPr>
          <w:lang w:val="en-IE"/>
        </w:rPr>
        <w:t>’</w:t>
      </w:r>
      <w:r w:rsidRPr="0059550D">
        <w:rPr>
          <w:lang w:val="en-IE"/>
        </w:rPr>
        <w:t xml:space="preserve"> and </w:t>
      </w:r>
      <w:r w:rsidR="00E82E10">
        <w:rPr>
          <w:lang w:val="en-IE"/>
        </w:rPr>
        <w:t>‘</w:t>
      </w:r>
      <w:r w:rsidRPr="0059550D">
        <w:rPr>
          <w:lang w:val="en-IE"/>
        </w:rPr>
        <w:t>Winner Listed</w:t>
      </w:r>
      <w:r w:rsidR="00E82E10">
        <w:rPr>
          <w:lang w:val="en-IE"/>
        </w:rPr>
        <w:t>’</w:t>
      </w:r>
      <w:r w:rsidRPr="0059550D">
        <w:rPr>
          <w:lang w:val="en-IE"/>
        </w:rPr>
        <w:t xml:space="preserve"> </w:t>
      </w:r>
      <w:r w:rsidR="00E82E10">
        <w:rPr>
          <w:lang w:val="en-IE"/>
        </w:rPr>
        <w:t xml:space="preserve">(see </w:t>
      </w:r>
      <w:r w:rsidR="00E82E10" w:rsidRPr="0059550D">
        <w:rPr>
          <w:lang w:val="en-IE"/>
        </w:rPr>
        <w:t>BT-706</w:t>
      </w:r>
      <w:r w:rsidR="00E82E10">
        <w:rPr>
          <w:lang w:val="en-IE"/>
        </w:rPr>
        <w:t xml:space="preserve"> and </w:t>
      </w:r>
      <w:r w:rsidRPr="0059550D">
        <w:rPr>
          <w:lang w:val="en-IE"/>
        </w:rPr>
        <w:t>BT-746</w:t>
      </w:r>
      <w:r w:rsidR="00E82E10">
        <w:rPr>
          <w:lang w:val="en-IE"/>
        </w:rPr>
        <w:t xml:space="preserve"> in the Annex of the Imple,entaing regulation</w:t>
      </w:r>
      <w:r w:rsidRPr="00E82E10">
        <w:rPr>
          <w:lang w:val="en-IE"/>
        </w:rPr>
        <w:t xml:space="preserve">). </w:t>
      </w:r>
    </w:p>
    <w:p w14:paraId="5C2A4003" w14:textId="77777777" w:rsidR="00760E39" w:rsidRPr="0059550D" w:rsidRDefault="00760E39" w:rsidP="00760E39">
      <w:pPr>
        <w:pStyle w:val="NoSpacing"/>
        <w:numPr>
          <w:ilvl w:val="0"/>
          <w:numId w:val="25"/>
        </w:numPr>
        <w:rPr>
          <w:lang w:val="en-IE"/>
        </w:rPr>
      </w:pPr>
      <w:r w:rsidRPr="0059550D">
        <w:rPr>
          <w:lang w:val="en-IE"/>
        </w:rPr>
        <w:t>Re-publishing the full information about the beneficial owner (see discussion in BT-633 Organisation Natural Person.)</w:t>
      </w:r>
    </w:p>
    <w:p w14:paraId="5BE6A248" w14:textId="3B900969" w:rsidR="00760E39" w:rsidRPr="0059550D" w:rsidRDefault="00B1117D" w:rsidP="005C05DD">
      <w:pPr>
        <w:pStyle w:val="Heading4"/>
        <w:numPr>
          <w:ilvl w:val="0"/>
          <w:numId w:val="0"/>
        </w:numPr>
        <w:rPr>
          <w:lang w:val="en-IE"/>
        </w:rPr>
      </w:pPr>
      <w:r>
        <w:rPr>
          <w:lang w:val="en-IE"/>
        </w:rPr>
        <w:t xml:space="preserve">4.1.3.3 </w:t>
      </w:r>
      <w:r w:rsidR="00760E39" w:rsidRPr="0059550D">
        <w:rPr>
          <w:lang w:val="en-IE"/>
        </w:rPr>
        <w:t>EU Funds</w:t>
      </w:r>
    </w:p>
    <w:p w14:paraId="43DACC95" w14:textId="0CB87463" w:rsidR="00760E39" w:rsidRPr="0059550D" w:rsidRDefault="00760E39" w:rsidP="00760E39">
      <w:pPr>
        <w:pStyle w:val="NoSpacing"/>
        <w:rPr>
          <w:lang w:val="en-IE"/>
        </w:rPr>
      </w:pPr>
      <w:r>
        <w:rPr>
          <w:lang w:val="en-IE"/>
        </w:rPr>
        <w:t>IT s</w:t>
      </w:r>
      <w:r w:rsidRPr="0059550D">
        <w:rPr>
          <w:lang w:val="en-IE"/>
        </w:rPr>
        <w:t xml:space="preserve">ystems manage the spending of EU funds. </w:t>
      </w:r>
      <w:r w:rsidR="007911B9">
        <w:rPr>
          <w:lang w:val="en-IE"/>
        </w:rPr>
        <w:t>Linking</w:t>
      </w:r>
      <w:r w:rsidR="007911B9" w:rsidRPr="0059550D">
        <w:rPr>
          <w:lang w:val="en-IE"/>
        </w:rPr>
        <w:t xml:space="preserve"> </w:t>
      </w:r>
      <w:r w:rsidRPr="0059550D">
        <w:rPr>
          <w:lang w:val="en-IE"/>
        </w:rPr>
        <w:t xml:space="preserve">EU fund data with procurement data allows tracking the spending being done through EU funds and identify, for example, situations when the execution of procedures creates a bottleneck for spending the money. See discussion </w:t>
      </w:r>
      <w:r w:rsidRPr="0059550D">
        <w:rPr>
          <w:lang w:val="en-IE"/>
        </w:rPr>
        <w:fldChar w:fldCharType="begin"/>
      </w:r>
      <w:r w:rsidRPr="0059550D">
        <w:rPr>
          <w:lang w:val="en-IE"/>
        </w:rPr>
        <w:instrText xml:space="preserve"> REF _Ref20144477 \r \h </w:instrText>
      </w:r>
      <w:r w:rsidRPr="0059550D">
        <w:rPr>
          <w:lang w:val="en-IE"/>
        </w:rPr>
      </w:r>
      <w:r w:rsidRPr="0059550D">
        <w:rPr>
          <w:lang w:val="en-IE"/>
        </w:rPr>
        <w:fldChar w:fldCharType="separate"/>
      </w:r>
      <w:r w:rsidR="00031242">
        <w:rPr>
          <w:lang w:val="en-IE"/>
        </w:rPr>
        <w:t>3.7.2</w:t>
      </w:r>
      <w:r w:rsidRPr="0059550D">
        <w:rPr>
          <w:lang w:val="en-IE"/>
        </w:rPr>
        <w:fldChar w:fldCharType="end"/>
      </w:r>
      <w:r w:rsidRPr="0059550D">
        <w:rPr>
          <w:lang w:val="en-IE"/>
        </w:rPr>
        <w:t xml:space="preserve"> for more information. </w:t>
      </w:r>
    </w:p>
    <w:p w14:paraId="3BE7360A" w14:textId="77777777" w:rsidR="00760E39" w:rsidRPr="0059550D" w:rsidRDefault="00760E39" w:rsidP="00760E39">
      <w:pPr>
        <w:pStyle w:val="Heading2"/>
        <w:rPr>
          <w:lang w:val="en-IE"/>
        </w:rPr>
      </w:pPr>
      <w:bookmarkStart w:id="67" w:name="_Toc25684101"/>
      <w:r w:rsidRPr="0059550D">
        <w:rPr>
          <w:lang w:val="en-IE"/>
        </w:rPr>
        <w:lastRenderedPageBreak/>
        <w:t>Publishing &amp; providing notices</w:t>
      </w:r>
      <w:bookmarkEnd w:id="67"/>
      <w:r w:rsidRPr="0059550D">
        <w:rPr>
          <w:lang w:val="en-IE"/>
        </w:rPr>
        <w:t xml:space="preserve"> </w:t>
      </w:r>
    </w:p>
    <w:p w14:paraId="3010E32B" w14:textId="77777777" w:rsidR="00760E39" w:rsidRPr="0059550D" w:rsidRDefault="00760E39" w:rsidP="00760E39">
      <w:pPr>
        <w:pStyle w:val="NoSpacing"/>
        <w:rPr>
          <w:lang w:val="en-IE"/>
        </w:rPr>
      </w:pPr>
    </w:p>
    <w:p w14:paraId="12E7B1AE" w14:textId="3D888406" w:rsidR="00760E39" w:rsidRDefault="00760E39" w:rsidP="00760E39">
      <w:pPr>
        <w:pStyle w:val="NoSpacing"/>
        <w:rPr>
          <w:lang w:val="en-IE"/>
        </w:rPr>
      </w:pPr>
      <w:r w:rsidRPr="0059550D">
        <w:rPr>
          <w:lang w:val="en-IE"/>
        </w:rPr>
        <w:t xml:space="preserve">Once users can </w:t>
      </w:r>
      <w:r w:rsidR="009138E6">
        <w:rPr>
          <w:lang w:val="en-IE"/>
        </w:rPr>
        <w:t xml:space="preserve">create and </w:t>
      </w:r>
      <w:r w:rsidRPr="0059550D">
        <w:rPr>
          <w:lang w:val="en-IE"/>
        </w:rPr>
        <w:t xml:space="preserve">send notices, the </w:t>
      </w:r>
      <w:r w:rsidR="00BD2845">
        <w:rPr>
          <w:lang w:val="en-IE"/>
        </w:rPr>
        <w:t>other</w:t>
      </w:r>
      <w:r w:rsidR="00BD2845" w:rsidRPr="0059550D">
        <w:rPr>
          <w:lang w:val="en-IE"/>
        </w:rPr>
        <w:t xml:space="preserve"> </w:t>
      </w:r>
      <w:r w:rsidRPr="0059550D">
        <w:rPr>
          <w:lang w:val="en-IE"/>
        </w:rPr>
        <w:t xml:space="preserve">important functionality is for the notices to be </w:t>
      </w:r>
      <w:r w:rsidR="00BB3037">
        <w:rPr>
          <w:lang w:val="en-IE"/>
        </w:rPr>
        <w:t>made available</w:t>
      </w:r>
      <w:r w:rsidRPr="0059550D">
        <w:rPr>
          <w:lang w:val="en-IE"/>
        </w:rPr>
        <w:t>. Typically, this consists of two parts: publishing notices on a webpage, which is primarily intended for users who simply want to read the data</w:t>
      </w:r>
      <w:r w:rsidR="00BB3037">
        <w:rPr>
          <w:lang w:val="en-IE"/>
        </w:rPr>
        <w:t>;</w:t>
      </w:r>
      <w:r w:rsidRPr="0059550D">
        <w:rPr>
          <w:lang w:val="en-IE"/>
        </w:rPr>
        <w:t xml:space="preserve"> and sharing data through a machine-readable interface, which is used by those who want to process and analyse the data further in bulk format. </w:t>
      </w:r>
    </w:p>
    <w:p w14:paraId="5D981782" w14:textId="77777777" w:rsidR="00760E39" w:rsidRPr="0059550D" w:rsidRDefault="00760E39" w:rsidP="00760E39">
      <w:pPr>
        <w:pStyle w:val="NoSpacing"/>
        <w:rPr>
          <w:lang w:val="en-IE"/>
        </w:rPr>
      </w:pPr>
    </w:p>
    <w:p w14:paraId="2ECAB204" w14:textId="43051482" w:rsidR="00760E39" w:rsidRPr="0059550D" w:rsidRDefault="00760E39" w:rsidP="00760E39">
      <w:pPr>
        <w:pStyle w:val="NoSpacing"/>
        <w:rPr>
          <w:lang w:val="en-IE"/>
        </w:rPr>
      </w:pPr>
      <w:r>
        <w:rPr>
          <w:lang w:val="en-IE"/>
        </w:rPr>
        <w:t xml:space="preserve">Decision-makers need to </w:t>
      </w:r>
      <w:r w:rsidR="00BB3037">
        <w:rPr>
          <w:lang w:val="en-IE"/>
        </w:rPr>
        <w:t xml:space="preserve">define </w:t>
      </w:r>
      <w:r w:rsidRPr="0059550D">
        <w:rPr>
          <w:lang w:val="en-IE"/>
        </w:rPr>
        <w:t xml:space="preserve">who </w:t>
      </w:r>
      <w:r w:rsidR="00AA118E">
        <w:rPr>
          <w:lang w:val="en-IE"/>
        </w:rPr>
        <w:t xml:space="preserve">may </w:t>
      </w:r>
      <w:r w:rsidR="00AA118E" w:rsidRPr="0059550D">
        <w:rPr>
          <w:lang w:val="en-IE"/>
        </w:rPr>
        <w:t xml:space="preserve"> </w:t>
      </w:r>
      <w:r w:rsidRPr="0059550D">
        <w:rPr>
          <w:lang w:val="en-IE"/>
        </w:rPr>
        <w:t>access  unpublished information</w:t>
      </w:r>
      <w:r w:rsidR="00B1117D">
        <w:rPr>
          <w:lang w:val="en-IE"/>
        </w:rPr>
        <w:t xml:space="preserve"> for  controls and auditing</w:t>
      </w:r>
      <w:r w:rsidR="006C3673">
        <w:rPr>
          <w:lang w:val="en-IE"/>
        </w:rPr>
        <w:t xml:space="preserve"> and apply the necessary access controls</w:t>
      </w:r>
      <w:r w:rsidRPr="0059550D">
        <w:rPr>
          <w:lang w:val="en-IE"/>
        </w:rPr>
        <w:t xml:space="preserve"> (see discussion in section </w:t>
      </w:r>
      <w:r w:rsidRPr="0059550D">
        <w:rPr>
          <w:lang w:val="en-IE"/>
        </w:rPr>
        <w:fldChar w:fldCharType="begin"/>
      </w:r>
      <w:r w:rsidRPr="0059550D">
        <w:rPr>
          <w:lang w:val="en-IE"/>
        </w:rPr>
        <w:instrText xml:space="preserve"> REF _Ref19553030 \r \h </w:instrText>
      </w:r>
      <w:r w:rsidRPr="0059550D">
        <w:rPr>
          <w:lang w:val="en-IE"/>
        </w:rPr>
      </w:r>
      <w:r w:rsidRPr="0059550D">
        <w:rPr>
          <w:lang w:val="en-IE"/>
        </w:rPr>
        <w:fldChar w:fldCharType="separate"/>
      </w:r>
      <w:r w:rsidR="00031242">
        <w:rPr>
          <w:lang w:val="en-IE"/>
        </w:rPr>
        <w:t>3.5.2</w:t>
      </w:r>
      <w:r w:rsidRPr="0059550D">
        <w:rPr>
          <w:lang w:val="en-IE"/>
        </w:rPr>
        <w:fldChar w:fldCharType="end"/>
      </w:r>
      <w:r w:rsidRPr="0059550D">
        <w:rPr>
          <w:lang w:val="en-IE"/>
        </w:rPr>
        <w:t>)</w:t>
      </w:r>
      <w:r w:rsidR="00AA118E">
        <w:rPr>
          <w:lang w:val="en-IE"/>
        </w:rPr>
        <w:t>;</w:t>
      </w:r>
      <w:r w:rsidRPr="0059550D">
        <w:rPr>
          <w:lang w:val="en-IE"/>
        </w:rPr>
        <w:t xml:space="preserve"> </w:t>
      </w:r>
      <w:r w:rsidR="00A42F8C">
        <w:rPr>
          <w:lang w:val="en-IE"/>
        </w:rPr>
        <w:t>t</w:t>
      </w:r>
      <w:r w:rsidRPr="0059550D">
        <w:rPr>
          <w:lang w:val="en-IE"/>
        </w:rPr>
        <w:t xml:space="preserve">ypically, eSenders, the Publications Office of the EU, the relevant national </w:t>
      </w:r>
      <w:r w:rsidRPr="00BE1570">
        <w:rPr>
          <w:lang w:val="en-IE"/>
        </w:rPr>
        <w:t>authorities and the European Commission</w:t>
      </w:r>
      <w:r w:rsidRPr="0059550D">
        <w:rPr>
          <w:lang w:val="en-IE"/>
        </w:rPr>
        <w:t xml:space="preserve">. However, the list can be broadened, reduced or specified, depending on national needs. </w:t>
      </w:r>
    </w:p>
    <w:p w14:paraId="311C0A7D" w14:textId="0E893CFE" w:rsidR="00760E39" w:rsidRPr="0059550D" w:rsidRDefault="008B40FE" w:rsidP="00760E39">
      <w:pPr>
        <w:pStyle w:val="Heading2"/>
        <w:rPr>
          <w:lang w:val="en-IE"/>
        </w:rPr>
      </w:pPr>
      <w:bookmarkStart w:id="68" w:name="_Toc25684102"/>
      <w:r>
        <w:rPr>
          <w:lang w:val="en-IE"/>
        </w:rPr>
        <w:t>Publication portals and sending tools</w:t>
      </w:r>
      <w:bookmarkEnd w:id="68"/>
      <w:r>
        <w:rPr>
          <w:lang w:val="en-IE"/>
        </w:rPr>
        <w:t xml:space="preserve"> </w:t>
      </w:r>
    </w:p>
    <w:p w14:paraId="1BCB1862" w14:textId="77777777" w:rsidR="00760E39" w:rsidRPr="0059550D" w:rsidRDefault="00760E39" w:rsidP="00760E39">
      <w:pPr>
        <w:rPr>
          <w:lang w:val="en-IE"/>
        </w:rPr>
      </w:pPr>
    </w:p>
    <w:p w14:paraId="686BD394" w14:textId="33B82409" w:rsidR="00682076" w:rsidRDefault="00760E39" w:rsidP="005B1441">
      <w:pPr>
        <w:jc w:val="both"/>
        <w:rPr>
          <w:lang w:val="en-IE"/>
        </w:rPr>
      </w:pPr>
      <w:r w:rsidRPr="0059550D">
        <w:rPr>
          <w:lang w:val="en-IE"/>
        </w:rPr>
        <w:t>Decisions need to be made on several subjects linked to who needs to implement eForms</w:t>
      </w:r>
      <w:r w:rsidR="00682076">
        <w:rPr>
          <w:lang w:val="en-IE"/>
        </w:rPr>
        <w:t xml:space="preserve"> and how.</w:t>
      </w:r>
    </w:p>
    <w:p w14:paraId="75541276" w14:textId="41F59824" w:rsidR="00AE4EE0" w:rsidRDefault="00AE4EE0" w:rsidP="005B1441">
      <w:pPr>
        <w:jc w:val="both"/>
        <w:rPr>
          <w:lang w:val="en-IE"/>
        </w:rPr>
      </w:pPr>
    </w:p>
    <w:p w14:paraId="10A316F9" w14:textId="64EA210F" w:rsidR="00AE4EE0" w:rsidRDefault="00CE3FCB" w:rsidP="00604DFD">
      <w:pPr>
        <w:pStyle w:val="NoSpacing"/>
        <w:rPr>
          <w:lang w:val="en-IE"/>
        </w:rPr>
      </w:pPr>
      <w:r>
        <w:rPr>
          <w:lang w:val="en-IE"/>
        </w:rPr>
        <w:t>In particular</w:t>
      </w:r>
      <w:r w:rsidR="001D585F">
        <w:rPr>
          <w:lang w:val="en-IE"/>
        </w:rPr>
        <w:t>, decisions sh</w:t>
      </w:r>
      <w:r>
        <w:rPr>
          <w:lang w:val="en-IE"/>
        </w:rPr>
        <w:t xml:space="preserve">ould be made about having </w:t>
      </w:r>
      <w:r w:rsidRPr="00EB186D">
        <w:rPr>
          <w:b/>
          <w:lang w:val="en-IE"/>
        </w:rPr>
        <w:t>single</w:t>
      </w:r>
      <w:r>
        <w:rPr>
          <w:lang w:val="en-IE"/>
        </w:rPr>
        <w:t xml:space="preserve"> or </w:t>
      </w:r>
      <w:r w:rsidRPr="00EB186D">
        <w:rPr>
          <w:b/>
          <w:lang w:val="en-IE"/>
        </w:rPr>
        <w:t>multiple solutions</w:t>
      </w:r>
      <w:r w:rsidR="00AE4EE0">
        <w:rPr>
          <w:lang w:val="en-IE"/>
        </w:rPr>
        <w:t xml:space="preserve">, such as </w:t>
      </w:r>
      <w:r w:rsidR="00AE4EE0" w:rsidRPr="0059550D">
        <w:rPr>
          <w:lang w:val="en-IE"/>
        </w:rPr>
        <w:t>whether to op</w:t>
      </w:r>
      <w:r w:rsidR="00AE4EE0">
        <w:rPr>
          <w:lang w:val="en-IE"/>
        </w:rPr>
        <w:t xml:space="preserve">erate any notice sending tool, </w:t>
      </w:r>
      <w:r w:rsidR="00236798">
        <w:rPr>
          <w:lang w:val="en-IE"/>
        </w:rPr>
        <w:t>either as a single</w:t>
      </w:r>
      <w:r w:rsidR="00AE4EE0" w:rsidRPr="0059550D">
        <w:rPr>
          <w:lang w:val="en-IE"/>
        </w:rPr>
        <w:t xml:space="preserve"> tool</w:t>
      </w:r>
      <w:r w:rsidR="00AE4EE0">
        <w:rPr>
          <w:lang w:val="en-IE"/>
        </w:rPr>
        <w:t>,</w:t>
      </w:r>
      <w:r w:rsidR="00AE4EE0" w:rsidRPr="0059550D">
        <w:rPr>
          <w:lang w:val="en-IE"/>
        </w:rPr>
        <w:t xml:space="preserve"> or as a competitor to privately run notice sending tool</w:t>
      </w:r>
      <w:r w:rsidR="00AE4EE0">
        <w:rPr>
          <w:lang w:val="en-IE"/>
        </w:rPr>
        <w:t>s; and whether to have a single or multiple publication portals</w:t>
      </w:r>
      <w:r w:rsidR="007D585E">
        <w:rPr>
          <w:lang w:val="en-IE"/>
        </w:rPr>
        <w:t>, at national level</w:t>
      </w:r>
      <w:r w:rsidR="00AE4EE0">
        <w:rPr>
          <w:lang w:val="en-IE"/>
        </w:rPr>
        <w:t>.</w:t>
      </w:r>
    </w:p>
    <w:p w14:paraId="5BB51B8F" w14:textId="77777777" w:rsidR="00AE4EE0" w:rsidRDefault="00AE4EE0" w:rsidP="005B1441">
      <w:pPr>
        <w:jc w:val="both"/>
        <w:rPr>
          <w:lang w:val="en-IE"/>
        </w:rPr>
      </w:pPr>
    </w:p>
    <w:p w14:paraId="52FD8C55" w14:textId="77777777" w:rsidR="00B1117D" w:rsidRDefault="00AE4EE0" w:rsidP="005B1441">
      <w:pPr>
        <w:jc w:val="both"/>
        <w:rPr>
          <w:lang w:val="en-IE"/>
        </w:rPr>
      </w:pPr>
      <w:r>
        <w:rPr>
          <w:lang w:val="en-IE"/>
        </w:rPr>
        <w:t xml:space="preserve">Another main decision is </w:t>
      </w:r>
      <w:r w:rsidR="00CE3FCB">
        <w:rPr>
          <w:lang w:val="en-IE"/>
        </w:rPr>
        <w:t xml:space="preserve">how to involve the </w:t>
      </w:r>
      <w:r w:rsidR="00CE3FCB" w:rsidRPr="00EB186D">
        <w:rPr>
          <w:b/>
          <w:lang w:val="en-IE"/>
        </w:rPr>
        <w:t>private market</w:t>
      </w:r>
      <w:r w:rsidR="00CE3FCB">
        <w:rPr>
          <w:lang w:val="en-IE"/>
        </w:rPr>
        <w:t xml:space="preserve">.  </w:t>
      </w:r>
      <w:r w:rsidR="001D585F">
        <w:rPr>
          <w:lang w:val="en-IE"/>
        </w:rPr>
        <w:t xml:space="preserve">In this context, an important factor to </w:t>
      </w:r>
      <w:r w:rsidR="00076ED6">
        <w:rPr>
          <w:lang w:val="en-IE"/>
        </w:rPr>
        <w:t xml:space="preserve">consider </w:t>
      </w:r>
      <w:r w:rsidR="001D585F">
        <w:rPr>
          <w:lang w:val="en-IE"/>
        </w:rPr>
        <w:t xml:space="preserve">is </w:t>
      </w:r>
      <w:r w:rsidR="00076ED6">
        <w:rPr>
          <w:lang w:val="en-IE"/>
        </w:rPr>
        <w:t xml:space="preserve">the availability of </w:t>
      </w:r>
      <w:r w:rsidR="00CE3FCB">
        <w:rPr>
          <w:lang w:val="en-IE"/>
        </w:rPr>
        <w:t>open data from TED</w:t>
      </w:r>
      <w:r w:rsidR="001D585F">
        <w:rPr>
          <w:lang w:val="en-IE"/>
        </w:rPr>
        <w:t>,</w:t>
      </w:r>
      <w:r w:rsidR="00CE3FCB">
        <w:rPr>
          <w:lang w:val="en-IE"/>
        </w:rPr>
        <w:t xml:space="preserve"> that can spur innovation </w:t>
      </w:r>
      <w:r w:rsidR="001D585F">
        <w:rPr>
          <w:lang w:val="en-IE"/>
        </w:rPr>
        <w:t xml:space="preserve">for value added services. </w:t>
      </w:r>
      <w:r w:rsidR="00B2252B">
        <w:rPr>
          <w:lang w:val="en-IE"/>
        </w:rPr>
        <w:t>T</w:t>
      </w:r>
      <w:r w:rsidR="001D585F">
        <w:rPr>
          <w:lang w:val="en-IE"/>
        </w:rPr>
        <w:t>he implementation of the eForms will allow for more info</w:t>
      </w:r>
      <w:r>
        <w:rPr>
          <w:lang w:val="en-IE"/>
        </w:rPr>
        <w:t>rmation and better data quality available</w:t>
      </w:r>
      <w:r w:rsidR="001D585F">
        <w:rPr>
          <w:lang w:val="en-IE"/>
        </w:rPr>
        <w:t xml:space="preserve"> in a common EU format, </w:t>
      </w:r>
      <w:r>
        <w:rPr>
          <w:lang w:val="en-IE"/>
        </w:rPr>
        <w:t>providing the ideal launching pad</w:t>
      </w:r>
      <w:r w:rsidR="001D585F">
        <w:rPr>
          <w:lang w:val="en-IE"/>
        </w:rPr>
        <w:t xml:space="preserve"> </w:t>
      </w:r>
      <w:r w:rsidR="007567BA">
        <w:rPr>
          <w:lang w:val="en-IE"/>
        </w:rPr>
        <w:t>to foster the</w:t>
      </w:r>
      <w:r w:rsidR="001D585F">
        <w:rPr>
          <w:lang w:val="en-IE"/>
        </w:rPr>
        <w:t xml:space="preserve"> developments</w:t>
      </w:r>
      <w:r w:rsidR="007567BA">
        <w:rPr>
          <w:lang w:val="en-IE"/>
        </w:rPr>
        <w:t xml:space="preserve"> of new services</w:t>
      </w:r>
      <w:r w:rsidR="001D585F">
        <w:rPr>
          <w:lang w:val="en-IE"/>
        </w:rPr>
        <w:t>.</w:t>
      </w:r>
      <w:r w:rsidR="00B1117D">
        <w:rPr>
          <w:lang w:val="en-IE"/>
        </w:rPr>
        <w:t xml:space="preserve">  </w:t>
      </w:r>
    </w:p>
    <w:p w14:paraId="0710A96E" w14:textId="77777777" w:rsidR="00B1117D" w:rsidRDefault="00B1117D" w:rsidP="005B1441">
      <w:pPr>
        <w:jc w:val="both"/>
        <w:rPr>
          <w:lang w:val="en-IE"/>
        </w:rPr>
      </w:pPr>
    </w:p>
    <w:p w14:paraId="2F9AC32C" w14:textId="0247AC85" w:rsidR="00760E39" w:rsidRPr="0059550D" w:rsidRDefault="00B1117D" w:rsidP="005B1441">
      <w:pPr>
        <w:jc w:val="both"/>
        <w:rPr>
          <w:lang w:val="en-IE"/>
        </w:rPr>
      </w:pPr>
      <w:r>
        <w:rPr>
          <w:lang w:val="en-IE"/>
        </w:rPr>
        <w:t>A new action</w:t>
      </w:r>
      <w:r w:rsidR="00BC41A5">
        <w:rPr>
          <w:rStyle w:val="FootnoteReference"/>
          <w:lang w:val="en-IE"/>
        </w:rPr>
        <w:footnoteReference w:id="70"/>
      </w:r>
      <w:r>
        <w:rPr>
          <w:lang w:val="en-IE"/>
        </w:rPr>
        <w:t xml:space="preserve"> proposed </w:t>
      </w:r>
      <w:r w:rsidR="00BC41A5">
        <w:rPr>
          <w:lang w:val="en-IE"/>
        </w:rPr>
        <w:t xml:space="preserve">by AGID (Agency for Digital Italy) for the revision of the </w:t>
      </w:r>
      <w:r>
        <w:rPr>
          <w:lang w:val="en-IE"/>
        </w:rPr>
        <w:t>ISA</w:t>
      </w:r>
      <w:r w:rsidRPr="005C05DD">
        <w:rPr>
          <w:vertAlign w:val="superscript"/>
          <w:lang w:val="en-IE"/>
        </w:rPr>
        <w:t>2</w:t>
      </w:r>
      <w:r>
        <w:rPr>
          <w:lang w:val="en-IE"/>
        </w:rPr>
        <w:t xml:space="preserve"> programme for the year 2020 will focus on the development of a </w:t>
      </w:r>
      <w:r w:rsidRPr="00B1117D">
        <w:rPr>
          <w:lang w:val="en-IE"/>
        </w:rPr>
        <w:t>European framework and infrastructure for</w:t>
      </w:r>
      <w:r>
        <w:rPr>
          <w:lang w:val="en-IE"/>
        </w:rPr>
        <w:t xml:space="preserve"> </w:t>
      </w:r>
      <w:r w:rsidRPr="00B1117D">
        <w:rPr>
          <w:lang w:val="en-IE"/>
        </w:rPr>
        <w:t>monitoring public procurement across the EU, through a set of</w:t>
      </w:r>
      <w:r>
        <w:rPr>
          <w:lang w:val="en-IE"/>
        </w:rPr>
        <w:t xml:space="preserve"> </w:t>
      </w:r>
      <w:r w:rsidRPr="00B1117D">
        <w:rPr>
          <w:lang w:val="en-IE"/>
        </w:rPr>
        <w:t>analytical services and tools based on a common data structure</w:t>
      </w:r>
      <w:r w:rsidR="00BC41A5">
        <w:rPr>
          <w:lang w:val="en-IE"/>
        </w:rPr>
        <w:t xml:space="preserve"> (using</w:t>
      </w:r>
      <w:r>
        <w:rPr>
          <w:lang w:val="en-IE"/>
        </w:rPr>
        <w:t xml:space="preserve"> the eProcurement Ontology</w:t>
      </w:r>
      <w:r w:rsidR="00BC41A5">
        <w:rPr>
          <w:lang w:val="en-IE"/>
        </w:rPr>
        <w:t>)</w:t>
      </w:r>
      <w:r>
        <w:rPr>
          <w:lang w:val="en-IE"/>
        </w:rPr>
        <w:t xml:space="preserve">. </w:t>
      </w:r>
      <w:r w:rsidR="00BC41A5">
        <w:rPr>
          <w:lang w:val="en-IE"/>
        </w:rPr>
        <w:t>The action will be implemented by the Commission and will p</w:t>
      </w:r>
      <w:r w:rsidRPr="00B1117D">
        <w:rPr>
          <w:lang w:val="en-IE"/>
        </w:rPr>
        <w:t>rovide a platform to access relevant Open Data to stakeholders and</w:t>
      </w:r>
      <w:r w:rsidR="00BC41A5">
        <w:rPr>
          <w:lang w:val="en-IE"/>
        </w:rPr>
        <w:t xml:space="preserve"> </w:t>
      </w:r>
      <w:r w:rsidRPr="00B1117D">
        <w:rPr>
          <w:lang w:val="en-IE"/>
        </w:rPr>
        <w:t xml:space="preserve">tools to analyse them as </w:t>
      </w:r>
      <w:r w:rsidRPr="005C05DD">
        <w:rPr>
          <w:b/>
          <w:lang w:val="en-IE"/>
        </w:rPr>
        <w:t>Linked Open Data</w:t>
      </w:r>
      <w:r w:rsidR="00BC41A5">
        <w:rPr>
          <w:lang w:val="en-IE"/>
        </w:rPr>
        <w:t>.</w:t>
      </w:r>
    </w:p>
    <w:p w14:paraId="34E5BC9F" w14:textId="1DC8FAAD" w:rsidR="00760E39" w:rsidRPr="00EB186D" w:rsidRDefault="00760E39" w:rsidP="00760E39">
      <w:pPr>
        <w:pStyle w:val="Heading3"/>
        <w:rPr>
          <w:lang w:val="en-IE"/>
        </w:rPr>
      </w:pPr>
      <w:bookmarkStart w:id="69" w:name="_Toc25684103"/>
      <w:r w:rsidRPr="00EB186D">
        <w:rPr>
          <w:lang w:val="en-IE"/>
        </w:rPr>
        <w:t>Public</w:t>
      </w:r>
      <w:r w:rsidR="00BD2845" w:rsidRPr="00EB186D">
        <w:rPr>
          <w:lang w:val="en-IE"/>
        </w:rPr>
        <w:t>ation portals</w:t>
      </w:r>
      <w:bookmarkEnd w:id="69"/>
      <w:r w:rsidR="00BD2845" w:rsidRPr="00EB186D">
        <w:rPr>
          <w:lang w:val="en-IE"/>
        </w:rPr>
        <w:t xml:space="preserve"> </w:t>
      </w:r>
    </w:p>
    <w:p w14:paraId="510EF574" w14:textId="77777777" w:rsidR="00ED12B8" w:rsidRDefault="00ED12B8" w:rsidP="00760E39">
      <w:pPr>
        <w:pStyle w:val="NoSpacing"/>
        <w:rPr>
          <w:lang w:val="en-IE"/>
        </w:rPr>
      </w:pPr>
    </w:p>
    <w:p w14:paraId="588437C7" w14:textId="12B21D7F" w:rsidR="00E86039" w:rsidRDefault="00BC64C6" w:rsidP="00760E39">
      <w:pPr>
        <w:pStyle w:val="NoSpacing"/>
        <w:rPr>
          <w:lang w:val="en-IE"/>
        </w:rPr>
      </w:pPr>
      <w:r>
        <w:rPr>
          <w:lang w:val="en-IE"/>
        </w:rPr>
        <w:t>The majority of the Member States</w:t>
      </w:r>
      <w:r>
        <w:rPr>
          <w:rStyle w:val="FootnoteReference"/>
          <w:lang w:val="en-IE"/>
        </w:rPr>
        <w:footnoteReference w:id="71"/>
      </w:r>
      <w:r>
        <w:rPr>
          <w:lang w:val="en-IE"/>
        </w:rPr>
        <w:t xml:space="preserve"> have </w:t>
      </w:r>
      <w:r w:rsidR="00E86039">
        <w:rPr>
          <w:lang w:val="en-IE"/>
        </w:rPr>
        <w:t>mandated the use of</w:t>
      </w:r>
      <w:r>
        <w:rPr>
          <w:lang w:val="en-IE"/>
        </w:rPr>
        <w:t xml:space="preserve"> a national publication portal</w:t>
      </w:r>
      <w:r w:rsidR="00BC265E">
        <w:rPr>
          <w:lang w:val="en-IE"/>
        </w:rPr>
        <w:t>; while r</w:t>
      </w:r>
      <w:r w:rsidR="00E86039">
        <w:rPr>
          <w:lang w:val="en-IE"/>
        </w:rPr>
        <w:t>egional and/or sectoral portals may also be available.</w:t>
      </w:r>
      <w:r w:rsidR="00F60FED">
        <w:rPr>
          <w:lang w:val="en-IE"/>
        </w:rPr>
        <w:t xml:space="preserve"> </w:t>
      </w:r>
      <w:r w:rsidR="00E86039">
        <w:rPr>
          <w:lang w:val="en-IE"/>
        </w:rPr>
        <w:t>For future development</w:t>
      </w:r>
      <w:r w:rsidR="00BC265E">
        <w:rPr>
          <w:lang w:val="en-IE"/>
        </w:rPr>
        <w:t>s</w:t>
      </w:r>
      <w:r w:rsidR="00E86039">
        <w:rPr>
          <w:lang w:val="en-IE"/>
        </w:rPr>
        <w:t xml:space="preserve"> of </w:t>
      </w:r>
      <w:r w:rsidR="00F60FED">
        <w:rPr>
          <w:lang w:val="en-IE"/>
        </w:rPr>
        <w:t>publications portals</w:t>
      </w:r>
      <w:r w:rsidR="00E86039">
        <w:rPr>
          <w:lang w:val="en-IE"/>
        </w:rPr>
        <w:t>, their scope</w:t>
      </w:r>
      <w:r w:rsidR="00F60FED">
        <w:rPr>
          <w:lang w:val="en-IE"/>
        </w:rPr>
        <w:t xml:space="preserve"> (e.g. national only, or also European)</w:t>
      </w:r>
      <w:r w:rsidR="00E86039">
        <w:rPr>
          <w:lang w:val="en-IE"/>
        </w:rPr>
        <w:t xml:space="preserve"> and involvement of the private market, the following considerations should be taken into account:</w:t>
      </w:r>
    </w:p>
    <w:p w14:paraId="5450713A" w14:textId="3C9A38CF" w:rsidR="00F60FED" w:rsidRDefault="00E86039" w:rsidP="00F60FED">
      <w:pPr>
        <w:pStyle w:val="NoSpacing"/>
        <w:numPr>
          <w:ilvl w:val="0"/>
          <w:numId w:val="31"/>
        </w:numPr>
        <w:rPr>
          <w:lang w:val="en-IE"/>
        </w:rPr>
      </w:pPr>
      <w:r>
        <w:rPr>
          <w:lang w:val="en-IE"/>
        </w:rPr>
        <w:t xml:space="preserve">Having a national publication portal </w:t>
      </w:r>
      <w:r w:rsidRPr="0059550D">
        <w:rPr>
          <w:lang w:val="en-IE"/>
        </w:rPr>
        <w:t xml:space="preserve">publishing notices </w:t>
      </w:r>
      <w:r>
        <w:rPr>
          <w:lang w:val="en-IE"/>
        </w:rPr>
        <w:t xml:space="preserve">also </w:t>
      </w:r>
      <w:r w:rsidRPr="0059550D">
        <w:rPr>
          <w:lang w:val="en-IE"/>
        </w:rPr>
        <w:t xml:space="preserve">from other </w:t>
      </w:r>
      <w:r>
        <w:rPr>
          <w:lang w:val="en-IE"/>
        </w:rPr>
        <w:t xml:space="preserve">EU </w:t>
      </w:r>
      <w:r w:rsidRPr="0059550D">
        <w:rPr>
          <w:lang w:val="en-IE"/>
        </w:rPr>
        <w:t>countries</w:t>
      </w:r>
      <w:r w:rsidR="00996E64">
        <w:rPr>
          <w:rStyle w:val="FootnoteReference"/>
          <w:lang w:val="en-IE"/>
        </w:rPr>
        <w:footnoteReference w:id="72"/>
      </w:r>
      <w:r w:rsidRPr="0059550D">
        <w:rPr>
          <w:lang w:val="en-IE"/>
        </w:rPr>
        <w:t xml:space="preserve">, available via the TED machine-readable interface, </w:t>
      </w:r>
      <w:r>
        <w:rPr>
          <w:lang w:val="en-IE"/>
        </w:rPr>
        <w:t>would expose national companies to opportunities in the EU.</w:t>
      </w:r>
      <w:r w:rsidR="00F60FED" w:rsidRPr="00F60FED">
        <w:rPr>
          <w:lang w:val="en-IE"/>
        </w:rPr>
        <w:t xml:space="preserve"> </w:t>
      </w:r>
    </w:p>
    <w:p w14:paraId="270D57D9" w14:textId="4EFE2BAF" w:rsidR="00E86039" w:rsidRPr="00F60FED" w:rsidRDefault="00F60FED" w:rsidP="00EB186D">
      <w:pPr>
        <w:pStyle w:val="NoSpacing"/>
        <w:numPr>
          <w:ilvl w:val="0"/>
          <w:numId w:val="31"/>
        </w:numPr>
        <w:rPr>
          <w:lang w:val="en-IE"/>
        </w:rPr>
      </w:pPr>
      <w:r w:rsidRPr="0059550D">
        <w:rPr>
          <w:lang w:val="en-IE"/>
        </w:rPr>
        <w:lastRenderedPageBreak/>
        <w:t xml:space="preserve">Running one’s own platform offers an opportunity to </w:t>
      </w:r>
      <w:r w:rsidR="00874ED7">
        <w:rPr>
          <w:lang w:val="en-IE"/>
        </w:rPr>
        <w:t>design</w:t>
      </w:r>
      <w:r w:rsidRPr="0059550D">
        <w:rPr>
          <w:lang w:val="en-IE"/>
        </w:rPr>
        <w:t xml:space="preserve"> the most user-friendly and efficient way to present information. Competition fosters innovation and some of it may not be straightforward – e.g. using artificial intelligence to recommend business opportunities to companies; </w:t>
      </w:r>
      <w:r>
        <w:rPr>
          <w:lang w:val="en-IE"/>
        </w:rPr>
        <w:t xml:space="preserve">displaying </w:t>
      </w:r>
      <w:r w:rsidRPr="0059550D">
        <w:rPr>
          <w:lang w:val="en-IE"/>
        </w:rPr>
        <w:t xml:space="preserve">information </w:t>
      </w:r>
      <w:r>
        <w:rPr>
          <w:lang w:val="en-IE"/>
        </w:rPr>
        <w:t xml:space="preserve">differently </w:t>
      </w:r>
      <w:r w:rsidRPr="0059550D">
        <w:rPr>
          <w:lang w:val="en-IE"/>
        </w:rPr>
        <w:t xml:space="preserve">depending on the user (e.g. company vs. citizens).  </w:t>
      </w:r>
    </w:p>
    <w:p w14:paraId="4ED33754" w14:textId="28A1F0A0" w:rsidR="00760E39" w:rsidRPr="00F60FED" w:rsidRDefault="00E86039" w:rsidP="00EB186D">
      <w:pPr>
        <w:pStyle w:val="NoSpacing"/>
        <w:numPr>
          <w:ilvl w:val="0"/>
          <w:numId w:val="31"/>
        </w:numPr>
        <w:rPr>
          <w:lang w:val="en-IE"/>
        </w:rPr>
      </w:pPr>
      <w:r w:rsidRPr="00F60FED">
        <w:rPr>
          <w:lang w:val="en-IE"/>
        </w:rPr>
        <w:t>W</w:t>
      </w:r>
      <w:r w:rsidR="00760E39" w:rsidRPr="00F60FED">
        <w:rPr>
          <w:lang w:val="en-IE"/>
        </w:rPr>
        <w:t>hether t</w:t>
      </w:r>
      <w:r w:rsidR="00236798" w:rsidRPr="00F60FED">
        <w:rPr>
          <w:lang w:val="en-IE"/>
        </w:rPr>
        <w:t>o</w:t>
      </w:r>
      <w:r w:rsidR="00760E39" w:rsidRPr="00F60FED">
        <w:rPr>
          <w:lang w:val="en-IE"/>
        </w:rPr>
        <w:t xml:space="preserve"> </w:t>
      </w:r>
      <w:r w:rsidR="00F60FED">
        <w:rPr>
          <w:lang w:val="en-IE"/>
        </w:rPr>
        <w:t xml:space="preserve">continue </w:t>
      </w:r>
      <w:r w:rsidR="00760E39" w:rsidRPr="00F60FED">
        <w:rPr>
          <w:lang w:val="en-IE"/>
        </w:rPr>
        <w:t>fund</w:t>
      </w:r>
      <w:r w:rsidR="00F60FED">
        <w:rPr>
          <w:lang w:val="en-IE"/>
        </w:rPr>
        <w:t>ing</w:t>
      </w:r>
      <w:r w:rsidR="00760E39" w:rsidRPr="00F60FED">
        <w:rPr>
          <w:lang w:val="en-IE"/>
        </w:rPr>
        <w:t xml:space="preserve"> any national (or regional)</w:t>
      </w:r>
      <w:r w:rsidR="002E3E6D" w:rsidRPr="00F60FED">
        <w:rPr>
          <w:lang w:val="en-IE"/>
        </w:rPr>
        <w:t xml:space="preserve"> </w:t>
      </w:r>
      <w:r w:rsidR="00760E39" w:rsidRPr="00F60FED">
        <w:rPr>
          <w:lang w:val="en-IE"/>
        </w:rPr>
        <w:t xml:space="preserve">publication portal. This is because, as long as an EU country also sends below-threshold notices to TED (see discussion in section </w:t>
      </w:r>
      <w:r w:rsidR="00760E39" w:rsidRPr="00E86039">
        <w:rPr>
          <w:lang w:val="en-IE"/>
        </w:rPr>
        <w:fldChar w:fldCharType="begin"/>
      </w:r>
      <w:r w:rsidR="00760E39" w:rsidRPr="00EB028F">
        <w:rPr>
          <w:lang w:val="en-IE"/>
        </w:rPr>
        <w:instrText xml:space="preserve"> REF _Ref19031624 \r \h </w:instrText>
      </w:r>
      <w:r w:rsidR="00760E39" w:rsidRPr="00E86039">
        <w:rPr>
          <w:lang w:val="en-IE"/>
        </w:rPr>
      </w:r>
      <w:r w:rsidR="00760E39" w:rsidRPr="00E86039">
        <w:rPr>
          <w:lang w:val="en-IE"/>
        </w:rPr>
        <w:fldChar w:fldCharType="separate"/>
      </w:r>
      <w:r w:rsidR="00031242">
        <w:rPr>
          <w:lang w:val="en-IE"/>
        </w:rPr>
        <w:t>3.3.1</w:t>
      </w:r>
      <w:r w:rsidR="00760E39" w:rsidRPr="00E86039">
        <w:rPr>
          <w:lang w:val="en-IE"/>
        </w:rPr>
        <w:fldChar w:fldCharType="end"/>
      </w:r>
      <w:r w:rsidR="00760E39" w:rsidRPr="00E86039">
        <w:rPr>
          <w:lang w:val="en-IE"/>
        </w:rPr>
        <w:t xml:space="preserve">), </w:t>
      </w:r>
      <w:r w:rsidR="008C55E4" w:rsidRPr="00F60FED">
        <w:rPr>
          <w:lang w:val="en-IE"/>
        </w:rPr>
        <w:t>publishing notices and sh</w:t>
      </w:r>
      <w:r w:rsidR="00236798" w:rsidRPr="00F60FED">
        <w:rPr>
          <w:lang w:val="en-IE"/>
        </w:rPr>
        <w:t>aring data through machine-readab</w:t>
      </w:r>
      <w:r w:rsidR="00F60FED">
        <w:rPr>
          <w:lang w:val="en-IE"/>
        </w:rPr>
        <w:t>le interfaces</w:t>
      </w:r>
      <w:r w:rsidR="008C55E4" w:rsidRPr="00F60FED">
        <w:rPr>
          <w:lang w:val="en-IE"/>
        </w:rPr>
        <w:t xml:space="preserve"> </w:t>
      </w:r>
      <w:r w:rsidR="00760E39" w:rsidRPr="00F60FED">
        <w:rPr>
          <w:lang w:val="en-IE"/>
        </w:rPr>
        <w:t xml:space="preserve">are already fulfilled by TED. </w:t>
      </w:r>
      <w:r w:rsidR="00236798" w:rsidRPr="00F60FED">
        <w:rPr>
          <w:lang w:val="en-IE"/>
        </w:rPr>
        <w:t xml:space="preserve">In addition, </w:t>
      </w:r>
      <w:r w:rsidR="00760E39" w:rsidRPr="00F60FED">
        <w:rPr>
          <w:lang w:val="en-IE"/>
        </w:rPr>
        <w:t xml:space="preserve">TED </w:t>
      </w:r>
      <w:r w:rsidR="00996E64">
        <w:rPr>
          <w:lang w:val="en-IE"/>
        </w:rPr>
        <w:t xml:space="preserve">website </w:t>
      </w:r>
      <w:r w:rsidR="00760E39" w:rsidRPr="00F60FED">
        <w:rPr>
          <w:lang w:val="en-IE"/>
        </w:rPr>
        <w:t xml:space="preserve">is available in </w:t>
      </w:r>
      <w:r w:rsidR="00996E64">
        <w:rPr>
          <w:lang w:val="en-IE"/>
        </w:rPr>
        <w:t>24</w:t>
      </w:r>
      <w:r w:rsidR="00996E64" w:rsidRPr="00F60FED">
        <w:rPr>
          <w:lang w:val="en-IE"/>
        </w:rPr>
        <w:t xml:space="preserve"> </w:t>
      </w:r>
      <w:r w:rsidR="00760E39" w:rsidRPr="00F60FED">
        <w:rPr>
          <w:lang w:val="en-IE"/>
        </w:rPr>
        <w:t>EU languages</w:t>
      </w:r>
      <w:r w:rsidR="00794794">
        <w:rPr>
          <w:rStyle w:val="FootnoteReference"/>
          <w:lang w:val="en-IE"/>
        </w:rPr>
        <w:footnoteReference w:id="73"/>
      </w:r>
      <w:r w:rsidR="00760E39" w:rsidRPr="00F60FED">
        <w:rPr>
          <w:lang w:val="en-IE"/>
        </w:rPr>
        <w:t xml:space="preserve">. </w:t>
      </w:r>
      <w:r w:rsidR="00F60FED">
        <w:rPr>
          <w:lang w:val="en-IE"/>
        </w:rPr>
        <w:t xml:space="preserve">However, national publications portals may also gather information that </w:t>
      </w:r>
      <w:r w:rsidR="00F60FED" w:rsidRPr="00B8665C">
        <w:rPr>
          <w:lang w:val="en-IE"/>
        </w:rPr>
        <w:t>is not published on TED.</w:t>
      </w:r>
    </w:p>
    <w:p w14:paraId="1577DE99" w14:textId="255AE457" w:rsidR="00760E39" w:rsidRPr="0059550D" w:rsidRDefault="00760E39" w:rsidP="00760E39">
      <w:pPr>
        <w:pStyle w:val="NoSpacing"/>
        <w:numPr>
          <w:ilvl w:val="0"/>
          <w:numId w:val="31"/>
        </w:numPr>
        <w:rPr>
          <w:lang w:val="en-IE"/>
        </w:rPr>
      </w:pPr>
      <w:r w:rsidRPr="0059550D">
        <w:rPr>
          <w:lang w:val="en-IE"/>
        </w:rPr>
        <w:t>Using TED is free</w:t>
      </w:r>
      <w:r w:rsidR="006C3673">
        <w:rPr>
          <w:rStyle w:val="FootnoteReference"/>
          <w:lang w:val="en-IE"/>
        </w:rPr>
        <w:footnoteReference w:id="74"/>
      </w:r>
      <w:r w:rsidRPr="0059550D">
        <w:rPr>
          <w:lang w:val="en-IE"/>
        </w:rPr>
        <w:t xml:space="preserve">. Setting up and/or maintaining a national publication platform is not. </w:t>
      </w:r>
    </w:p>
    <w:p w14:paraId="3CFB1B58" w14:textId="77777777" w:rsidR="00760E39" w:rsidRDefault="00760E39" w:rsidP="00760E39">
      <w:pPr>
        <w:pStyle w:val="NoSpacing"/>
        <w:numPr>
          <w:ilvl w:val="0"/>
          <w:numId w:val="31"/>
        </w:numPr>
        <w:rPr>
          <w:lang w:val="en-IE"/>
        </w:rPr>
      </w:pPr>
      <w:r w:rsidRPr="0059550D">
        <w:rPr>
          <w:lang w:val="en-IE"/>
        </w:rPr>
        <w:t xml:space="preserve">Not having a national platform does not mean that the private sector cannot step in. In particular, thanks to notice data being available through a </w:t>
      </w:r>
      <w:r>
        <w:rPr>
          <w:lang w:val="en-IE"/>
        </w:rPr>
        <w:t xml:space="preserve">TED </w:t>
      </w:r>
      <w:r w:rsidRPr="0059550D">
        <w:rPr>
          <w:lang w:val="en-IE"/>
        </w:rPr>
        <w:t xml:space="preserve">machine-readable interface, any company can act as a “broker”, providing companies and citizens with the most relevant information, e.g. based on </w:t>
      </w:r>
      <w:r>
        <w:rPr>
          <w:lang w:val="en-IE"/>
        </w:rPr>
        <w:t xml:space="preserve">the </w:t>
      </w:r>
      <w:r w:rsidRPr="0059550D">
        <w:rPr>
          <w:lang w:val="en-IE"/>
        </w:rPr>
        <w:t>advanced technologies</w:t>
      </w:r>
      <w:r>
        <w:rPr>
          <w:lang w:val="en-IE"/>
        </w:rPr>
        <w:t xml:space="preserve"> mentioned above</w:t>
      </w:r>
      <w:r w:rsidRPr="0059550D">
        <w:rPr>
          <w:lang w:val="en-IE"/>
        </w:rPr>
        <w:t xml:space="preserve">. </w:t>
      </w:r>
    </w:p>
    <w:p w14:paraId="010480F0" w14:textId="77777777" w:rsidR="00794794" w:rsidRDefault="00794794" w:rsidP="00794794">
      <w:pPr>
        <w:pStyle w:val="NoSpacing"/>
        <w:numPr>
          <w:ilvl w:val="0"/>
          <w:numId w:val="31"/>
        </w:numPr>
        <w:rPr>
          <w:lang w:val="en-IE"/>
        </w:rPr>
      </w:pPr>
      <w:r w:rsidRPr="0059550D">
        <w:rPr>
          <w:lang w:val="en-IE"/>
        </w:rPr>
        <w:t>Since TED data is available as machine readable data, there are always likely to be some privately operated publishing tool</w:t>
      </w:r>
      <w:r>
        <w:rPr>
          <w:lang w:val="en-IE"/>
        </w:rPr>
        <w:t>s</w:t>
      </w:r>
      <w:r w:rsidRPr="0059550D">
        <w:rPr>
          <w:lang w:val="en-IE"/>
        </w:rPr>
        <w:t xml:space="preserve">. </w:t>
      </w:r>
      <w:r>
        <w:rPr>
          <w:lang w:val="en-IE"/>
        </w:rPr>
        <w:t xml:space="preserve">Therefore, the participation of commercial operators should be foreseen. </w:t>
      </w:r>
    </w:p>
    <w:p w14:paraId="4FCAE2F3" w14:textId="77777777" w:rsidR="002E3E6D" w:rsidRPr="00794794" w:rsidRDefault="002E3E6D" w:rsidP="00963B98">
      <w:pPr>
        <w:pStyle w:val="NoSpacing"/>
        <w:ind w:left="720"/>
        <w:rPr>
          <w:lang w:val="en-IE"/>
        </w:rPr>
      </w:pPr>
    </w:p>
    <w:p w14:paraId="08C8A9A4" w14:textId="275B7063" w:rsidR="00760E39" w:rsidRPr="0059550D" w:rsidRDefault="00760E39" w:rsidP="00760E39">
      <w:pPr>
        <w:pStyle w:val="Heading3"/>
        <w:rPr>
          <w:lang w:val="en-IE"/>
        </w:rPr>
      </w:pPr>
      <w:bookmarkStart w:id="70" w:name="_Toc25684104"/>
      <w:r w:rsidRPr="0059550D">
        <w:rPr>
          <w:lang w:val="en-IE"/>
        </w:rPr>
        <w:t>Sending tools</w:t>
      </w:r>
      <w:bookmarkEnd w:id="70"/>
    </w:p>
    <w:p w14:paraId="1520B041" w14:textId="7E7F740B" w:rsidR="00760E39" w:rsidRPr="0059550D" w:rsidRDefault="00760E39" w:rsidP="00760E39">
      <w:pPr>
        <w:pStyle w:val="NoSpacing"/>
        <w:rPr>
          <w:lang w:val="en-IE"/>
        </w:rPr>
      </w:pPr>
      <w:r w:rsidRPr="0059550D">
        <w:rPr>
          <w:lang w:val="en-IE"/>
        </w:rPr>
        <w:t xml:space="preserve">The main decision concerning notice sending tools is whether buyers must use a particular eSender or whether they are allowed to choose between different eSenders. </w:t>
      </w:r>
      <w:r w:rsidR="001D442C">
        <w:rPr>
          <w:lang w:val="en-IE"/>
        </w:rPr>
        <w:t>Some of t</w:t>
      </w:r>
      <w:r w:rsidRPr="0059550D">
        <w:rPr>
          <w:lang w:val="en-IE"/>
        </w:rPr>
        <w:t xml:space="preserve">he main </w:t>
      </w:r>
      <w:r w:rsidR="00E225EA">
        <w:rPr>
          <w:lang w:val="en-IE"/>
        </w:rPr>
        <w:t xml:space="preserve">factors </w:t>
      </w:r>
      <w:r w:rsidRPr="0059550D">
        <w:rPr>
          <w:lang w:val="en-IE"/>
        </w:rPr>
        <w:t xml:space="preserve">for using a single eSender </w:t>
      </w:r>
      <w:r w:rsidR="001D442C">
        <w:rPr>
          <w:lang w:val="en-IE"/>
        </w:rPr>
        <w:t>are</w:t>
      </w:r>
      <w:r w:rsidR="001D442C" w:rsidRPr="0059550D">
        <w:rPr>
          <w:lang w:val="en-IE"/>
        </w:rPr>
        <w:t xml:space="preserve"> </w:t>
      </w:r>
      <w:r w:rsidRPr="0059550D">
        <w:rPr>
          <w:lang w:val="en-IE"/>
        </w:rPr>
        <w:t>simplicity</w:t>
      </w:r>
      <w:r w:rsidR="00D41B39">
        <w:rPr>
          <w:lang w:val="en-IE"/>
        </w:rPr>
        <w:t>;</w:t>
      </w:r>
      <w:r w:rsidR="001D442C">
        <w:rPr>
          <w:lang w:val="en-IE"/>
        </w:rPr>
        <w:t xml:space="preserve"> central monitoring of public procurement</w:t>
      </w:r>
      <w:r w:rsidR="00D41B39">
        <w:rPr>
          <w:lang w:val="en-IE"/>
        </w:rPr>
        <w:t>;</w:t>
      </w:r>
      <w:r w:rsidR="001D442C">
        <w:rPr>
          <w:lang w:val="en-IE"/>
        </w:rPr>
        <w:t xml:space="preserve"> governance </w:t>
      </w:r>
      <w:r w:rsidR="00D41B39">
        <w:rPr>
          <w:lang w:val="en-IE"/>
        </w:rPr>
        <w:t xml:space="preserve">rules </w:t>
      </w:r>
      <w:r w:rsidR="001D442C">
        <w:rPr>
          <w:lang w:val="en-IE"/>
        </w:rPr>
        <w:t xml:space="preserve">and/or </w:t>
      </w:r>
      <w:r w:rsidR="00D41B39">
        <w:rPr>
          <w:lang w:val="en-IE"/>
        </w:rPr>
        <w:t>technical requirements</w:t>
      </w:r>
      <w:r w:rsidR="001D442C">
        <w:rPr>
          <w:lang w:val="en-IE"/>
        </w:rPr>
        <w:t xml:space="preserve"> at the national level. T</w:t>
      </w:r>
      <w:r w:rsidRPr="0059550D">
        <w:rPr>
          <w:lang w:val="en-IE"/>
        </w:rPr>
        <w:t xml:space="preserve">he main reason for allowing multiple eSenders is </w:t>
      </w:r>
      <w:r>
        <w:rPr>
          <w:lang w:val="en-IE"/>
        </w:rPr>
        <w:t xml:space="preserve">the </w:t>
      </w:r>
      <w:r w:rsidRPr="0059550D">
        <w:rPr>
          <w:lang w:val="en-IE"/>
        </w:rPr>
        <w:t>innovation</w:t>
      </w:r>
      <w:r>
        <w:rPr>
          <w:lang w:val="en-IE"/>
        </w:rPr>
        <w:t xml:space="preserve"> resulting from </w:t>
      </w:r>
      <w:r w:rsidRPr="0059550D">
        <w:rPr>
          <w:lang w:val="en-IE"/>
        </w:rPr>
        <w:t>competition.</w:t>
      </w:r>
    </w:p>
    <w:p w14:paraId="22165F85" w14:textId="77777777" w:rsidR="00760E39" w:rsidRPr="0059550D" w:rsidRDefault="00760E39" w:rsidP="00760E39">
      <w:pPr>
        <w:pStyle w:val="NoSpacing"/>
        <w:rPr>
          <w:lang w:val="en-IE"/>
        </w:rPr>
      </w:pPr>
    </w:p>
    <w:p w14:paraId="4F5B23BE" w14:textId="77777777" w:rsidR="00760E39" w:rsidRPr="0059550D" w:rsidRDefault="00760E39" w:rsidP="00760E39">
      <w:pPr>
        <w:pStyle w:val="NoSpacing"/>
        <w:rPr>
          <w:lang w:val="en-IE"/>
        </w:rPr>
      </w:pPr>
      <w:r w:rsidRPr="0059550D">
        <w:rPr>
          <w:lang w:val="en-IE"/>
        </w:rPr>
        <w:t xml:space="preserve">If choosing between multiple eSenders is allowed, then </w:t>
      </w:r>
      <w:r>
        <w:rPr>
          <w:lang w:val="en-IE"/>
        </w:rPr>
        <w:t>legal</w:t>
      </w:r>
      <w:r w:rsidRPr="0059550D">
        <w:rPr>
          <w:lang w:val="en-IE"/>
        </w:rPr>
        <w:t xml:space="preserve"> measures are typically needed to ensure the good functioning of the market. These should cover at least: </w:t>
      </w:r>
    </w:p>
    <w:p w14:paraId="7677133A" w14:textId="4E4D4BFF" w:rsidR="00760E39" w:rsidRPr="0059550D" w:rsidRDefault="00760E39" w:rsidP="00760E39">
      <w:pPr>
        <w:pStyle w:val="NoSpacing"/>
        <w:numPr>
          <w:ilvl w:val="0"/>
          <w:numId w:val="32"/>
        </w:numPr>
        <w:rPr>
          <w:lang w:val="en-IE"/>
        </w:rPr>
      </w:pPr>
      <w:r w:rsidRPr="0059550D">
        <w:rPr>
          <w:lang w:val="en-IE"/>
        </w:rPr>
        <w:t xml:space="preserve">Proper </w:t>
      </w:r>
      <w:r w:rsidRPr="00EB186D">
        <w:rPr>
          <w:b/>
          <w:lang w:val="en-IE"/>
        </w:rPr>
        <w:t>incentives</w:t>
      </w:r>
      <w:r w:rsidR="007D585E">
        <w:rPr>
          <w:b/>
          <w:lang w:val="en-IE"/>
        </w:rPr>
        <w:t xml:space="preserve"> -</w:t>
      </w:r>
      <w:r w:rsidRPr="0059550D">
        <w:rPr>
          <w:lang w:val="en-IE"/>
        </w:rPr>
        <w:t xml:space="preserve"> </w:t>
      </w:r>
      <w:r w:rsidR="007D585E">
        <w:rPr>
          <w:lang w:val="en-IE"/>
        </w:rPr>
        <w:t>a</w:t>
      </w:r>
      <w:r w:rsidRPr="0059550D">
        <w:rPr>
          <w:lang w:val="en-IE"/>
        </w:rPr>
        <w:t>s discussed in section</w:t>
      </w:r>
      <w:r>
        <w:rPr>
          <w:lang w:val="en-IE"/>
        </w:rPr>
        <w:t xml:space="preserve"> </w:t>
      </w:r>
      <w:r>
        <w:rPr>
          <w:lang w:val="en-IE"/>
        </w:rPr>
        <w:fldChar w:fldCharType="begin"/>
      </w:r>
      <w:r>
        <w:rPr>
          <w:lang w:val="en-IE"/>
        </w:rPr>
        <w:instrText xml:space="preserve"> REF _Ref19290243 \r \h </w:instrText>
      </w:r>
      <w:r>
        <w:rPr>
          <w:lang w:val="en-IE"/>
        </w:rPr>
      </w:r>
      <w:r>
        <w:rPr>
          <w:lang w:val="en-IE"/>
        </w:rPr>
        <w:fldChar w:fldCharType="separate"/>
      </w:r>
      <w:r w:rsidR="00031242">
        <w:rPr>
          <w:lang w:val="en-IE"/>
        </w:rPr>
        <w:t>3.2</w:t>
      </w:r>
      <w:r>
        <w:rPr>
          <w:lang w:val="en-IE"/>
        </w:rPr>
        <w:fldChar w:fldCharType="end"/>
      </w:r>
      <w:r w:rsidRPr="0059550D">
        <w:rPr>
          <w:lang w:val="en-IE"/>
        </w:rPr>
        <w:t>, costs and benefits of publishing notices fall on different entities, with most costs being on the side of buyers. Consequently, without further intervention, a private eSender</w:t>
      </w:r>
      <w:r w:rsidR="00D41B39">
        <w:rPr>
          <w:lang w:val="en-IE"/>
        </w:rPr>
        <w:t>s</w:t>
      </w:r>
      <w:r w:rsidRPr="0059550D">
        <w:rPr>
          <w:lang w:val="en-IE"/>
        </w:rPr>
        <w:t xml:space="preserve"> market is likely to </w:t>
      </w:r>
      <w:r>
        <w:rPr>
          <w:lang w:val="en-IE"/>
        </w:rPr>
        <w:t xml:space="preserve">concentrate all effort </w:t>
      </w:r>
      <w:r w:rsidRPr="0059550D">
        <w:rPr>
          <w:lang w:val="en-IE"/>
        </w:rPr>
        <w:t xml:space="preserve">on publishing any </w:t>
      </w:r>
      <w:r w:rsidR="00D41B39">
        <w:rPr>
          <w:lang w:val="en-IE"/>
        </w:rPr>
        <w:t>(</w:t>
      </w:r>
      <w:r>
        <w:rPr>
          <w:lang w:val="en-IE"/>
        </w:rPr>
        <w:t xml:space="preserve">at least barely </w:t>
      </w:r>
      <w:r w:rsidRPr="0059550D">
        <w:rPr>
          <w:lang w:val="en-IE"/>
        </w:rPr>
        <w:t>acceptable</w:t>
      </w:r>
      <w:r w:rsidR="00D41B39">
        <w:rPr>
          <w:lang w:val="en-IE"/>
        </w:rPr>
        <w:t>)</w:t>
      </w:r>
      <w:r w:rsidRPr="0059550D">
        <w:rPr>
          <w:lang w:val="en-IE"/>
        </w:rPr>
        <w:t xml:space="preserve"> notice, with little regard being given to the benefits of the data</w:t>
      </w:r>
      <w:r>
        <w:rPr>
          <w:lang w:val="en-IE"/>
        </w:rPr>
        <w:t>. T</w:t>
      </w:r>
      <w:r w:rsidRPr="0059550D">
        <w:rPr>
          <w:lang w:val="en-IE"/>
        </w:rPr>
        <w:t>his can be especially h</w:t>
      </w:r>
      <w:r>
        <w:rPr>
          <w:lang w:val="en-IE"/>
        </w:rPr>
        <w:t>armful given the large extent</w:t>
      </w:r>
      <w:r w:rsidRPr="0059550D">
        <w:rPr>
          <w:lang w:val="en-IE"/>
        </w:rPr>
        <w:t xml:space="preserve"> </w:t>
      </w:r>
      <w:r>
        <w:rPr>
          <w:lang w:val="en-IE"/>
        </w:rPr>
        <w:t>to which eForms can be tailored</w:t>
      </w:r>
      <w:r w:rsidRPr="0059550D">
        <w:rPr>
          <w:lang w:val="en-IE"/>
        </w:rPr>
        <w:t xml:space="preserve">. The simplest approach to resolving this </w:t>
      </w:r>
      <w:r w:rsidR="00D41B39">
        <w:rPr>
          <w:lang w:val="en-IE"/>
        </w:rPr>
        <w:t>issue</w:t>
      </w:r>
      <w:r w:rsidR="00D41B39" w:rsidRPr="0059550D">
        <w:rPr>
          <w:lang w:val="en-IE"/>
        </w:rPr>
        <w:t xml:space="preserve"> </w:t>
      </w:r>
      <w:r w:rsidRPr="0059550D">
        <w:rPr>
          <w:lang w:val="en-IE"/>
        </w:rPr>
        <w:t>is by mandating information requirements for eSenders. Alternative, more complex approaches include incentivising the provision of information</w:t>
      </w:r>
      <w:r w:rsidRPr="0059550D">
        <w:rPr>
          <w:rStyle w:val="FootnoteReference"/>
          <w:lang w:val="en-IE"/>
        </w:rPr>
        <w:footnoteReference w:id="75"/>
      </w:r>
      <w:r w:rsidRPr="0059550D">
        <w:rPr>
          <w:lang w:val="en-IE"/>
        </w:rPr>
        <w:t xml:space="preserve">. </w:t>
      </w:r>
    </w:p>
    <w:p w14:paraId="512984CA" w14:textId="62F4CAA8" w:rsidR="00760E39" w:rsidRPr="0059550D" w:rsidRDefault="00760E39" w:rsidP="00760E39">
      <w:pPr>
        <w:pStyle w:val="NoSpacing"/>
        <w:numPr>
          <w:ilvl w:val="0"/>
          <w:numId w:val="32"/>
        </w:numPr>
        <w:rPr>
          <w:lang w:val="en-IE"/>
        </w:rPr>
      </w:pPr>
      <w:r w:rsidRPr="00EB186D">
        <w:rPr>
          <w:b/>
          <w:lang w:val="en-IE"/>
        </w:rPr>
        <w:t>Data portability</w:t>
      </w:r>
      <w:r w:rsidR="007D585E">
        <w:rPr>
          <w:lang w:val="en-IE"/>
        </w:rPr>
        <w:t xml:space="preserve"> -</w:t>
      </w:r>
      <w:r w:rsidRPr="0059550D">
        <w:rPr>
          <w:lang w:val="en-IE"/>
        </w:rPr>
        <w:t xml:space="preserve"> </w:t>
      </w:r>
      <w:r w:rsidR="007D585E">
        <w:rPr>
          <w:lang w:val="en-IE"/>
        </w:rPr>
        <w:t>i</w:t>
      </w:r>
      <w:r w:rsidRPr="0059550D">
        <w:rPr>
          <w:lang w:val="en-IE"/>
        </w:rPr>
        <w:t xml:space="preserve">f buyers cannot easily switch between eSenders, then competition cannot work. This includes data on ongoing procedures, data that may not necessarily be published (e.g. data on all submitted tenders), etc. </w:t>
      </w:r>
    </w:p>
    <w:p w14:paraId="3FA21E22" w14:textId="562246F0" w:rsidR="00760E39" w:rsidRPr="00A42F8C" w:rsidRDefault="00760E39" w:rsidP="009B198C">
      <w:pPr>
        <w:pStyle w:val="NoSpacing"/>
        <w:numPr>
          <w:ilvl w:val="0"/>
          <w:numId w:val="32"/>
        </w:numPr>
        <w:rPr>
          <w:lang w:val="en-IE"/>
        </w:rPr>
      </w:pPr>
      <w:r w:rsidRPr="00EB186D">
        <w:rPr>
          <w:b/>
          <w:lang w:val="en-IE"/>
        </w:rPr>
        <w:lastRenderedPageBreak/>
        <w:t>Government access</w:t>
      </w:r>
      <w:r w:rsidRPr="0059550D">
        <w:rPr>
          <w:lang w:val="en-IE"/>
        </w:rPr>
        <w:t xml:space="preserve"> to the data, especially if not all is published on TED (e.g. below-threshold). </w:t>
      </w:r>
    </w:p>
    <w:p w14:paraId="233F5E1D" w14:textId="77777777" w:rsidR="00760E39" w:rsidRPr="0059550D" w:rsidRDefault="00760E39" w:rsidP="00760E39">
      <w:pPr>
        <w:pStyle w:val="Heading2"/>
        <w:rPr>
          <w:lang w:val="en-IE"/>
        </w:rPr>
      </w:pPr>
      <w:bookmarkStart w:id="71" w:name="_Toc25684105"/>
      <w:bookmarkStart w:id="72" w:name="_Toc25684106"/>
      <w:bookmarkEnd w:id="71"/>
      <w:r w:rsidRPr="0059550D">
        <w:rPr>
          <w:lang w:val="en-IE"/>
        </w:rPr>
        <w:t>Government provided solution – make, buy, skip</w:t>
      </w:r>
      <w:bookmarkEnd w:id="72"/>
    </w:p>
    <w:p w14:paraId="510A3981" w14:textId="77777777" w:rsidR="00760E39" w:rsidRPr="0059550D" w:rsidRDefault="00760E39" w:rsidP="00760E39">
      <w:pPr>
        <w:pStyle w:val="NoSpacing"/>
        <w:rPr>
          <w:lang w:val="en-IE"/>
        </w:rPr>
      </w:pPr>
    </w:p>
    <w:p w14:paraId="1DD65F69" w14:textId="7AB1B7E9" w:rsidR="00CD7179" w:rsidRDefault="00760E39" w:rsidP="00760E39">
      <w:pPr>
        <w:pStyle w:val="NoSpacing"/>
        <w:rPr>
          <w:lang w:val="en-IE"/>
        </w:rPr>
      </w:pPr>
      <w:r w:rsidRPr="0059550D">
        <w:rPr>
          <w:lang w:val="en-IE"/>
        </w:rPr>
        <w:t xml:space="preserve">When deciding for a government run tool, another </w:t>
      </w:r>
      <w:r w:rsidR="00F51D57">
        <w:rPr>
          <w:lang w:val="en-IE"/>
        </w:rPr>
        <w:t>important</w:t>
      </w:r>
      <w:r w:rsidR="00F51D57" w:rsidRPr="0059550D">
        <w:rPr>
          <w:lang w:val="en-IE"/>
        </w:rPr>
        <w:t xml:space="preserve"> </w:t>
      </w:r>
      <w:r w:rsidRPr="0059550D">
        <w:rPr>
          <w:lang w:val="en-IE"/>
        </w:rPr>
        <w:t xml:space="preserve">decision is whether to </w:t>
      </w:r>
      <w:r w:rsidR="00F51D57">
        <w:rPr>
          <w:lang w:val="en-IE"/>
        </w:rPr>
        <w:t>develop</w:t>
      </w:r>
      <w:r w:rsidR="00F51D57" w:rsidRPr="0059550D">
        <w:rPr>
          <w:lang w:val="en-IE"/>
        </w:rPr>
        <w:t xml:space="preserve"> </w:t>
      </w:r>
      <w:r w:rsidRPr="0059550D">
        <w:rPr>
          <w:lang w:val="en-IE"/>
        </w:rPr>
        <w:t>the system internally using existing IT staff</w:t>
      </w:r>
      <w:r w:rsidR="001A2078">
        <w:rPr>
          <w:lang w:val="en-IE"/>
        </w:rPr>
        <w:t>,</w:t>
      </w:r>
      <w:r w:rsidRPr="0059550D">
        <w:rPr>
          <w:lang w:val="en-IE"/>
        </w:rPr>
        <w:t xml:space="preserve"> or whether to procure the IT solutions. In recent years, there have been many high-profile failures of government IT (</w:t>
      </w:r>
      <w:r w:rsidR="00CD7179">
        <w:rPr>
          <w:lang w:val="en-IE"/>
        </w:rPr>
        <w:t>in both cases</w:t>
      </w:r>
      <w:r w:rsidRPr="0059550D">
        <w:rPr>
          <w:lang w:val="en-IE"/>
        </w:rPr>
        <w:t xml:space="preserve">), </w:t>
      </w:r>
      <w:r w:rsidR="00CD7179">
        <w:rPr>
          <w:lang w:val="en-IE"/>
        </w:rPr>
        <w:t>therefore</w:t>
      </w:r>
      <w:r w:rsidR="00CD7179" w:rsidRPr="0059550D">
        <w:rPr>
          <w:lang w:val="en-IE"/>
        </w:rPr>
        <w:t xml:space="preserve"> </w:t>
      </w:r>
      <w:r w:rsidRPr="0059550D">
        <w:rPr>
          <w:lang w:val="en-IE"/>
        </w:rPr>
        <w:t xml:space="preserve">decision-makers should be aware of the difficulties this entails. </w:t>
      </w:r>
      <w:r w:rsidR="00CD7179">
        <w:rPr>
          <w:lang w:val="en-IE"/>
        </w:rPr>
        <w:t>Relevant information</w:t>
      </w:r>
      <w:r w:rsidRPr="0059550D">
        <w:rPr>
          <w:lang w:val="en-IE"/>
        </w:rPr>
        <w:t xml:space="preserve"> </w:t>
      </w:r>
      <w:r w:rsidR="00CD7179">
        <w:rPr>
          <w:lang w:val="en-IE"/>
        </w:rPr>
        <w:t>is</w:t>
      </w:r>
      <w:r w:rsidRPr="0059550D">
        <w:rPr>
          <w:lang w:val="en-IE"/>
        </w:rPr>
        <w:t xml:space="preserve"> available on the subject</w:t>
      </w:r>
      <w:r w:rsidRPr="0059550D">
        <w:rPr>
          <w:rStyle w:val="FootnoteReference"/>
          <w:lang w:val="en-IE"/>
        </w:rPr>
        <w:footnoteReference w:id="76"/>
      </w:r>
      <w:r w:rsidRPr="0059550D">
        <w:rPr>
          <w:lang w:val="en-IE"/>
        </w:rPr>
        <w:t xml:space="preserve"> </w:t>
      </w:r>
      <w:r>
        <w:rPr>
          <w:lang w:val="en-IE"/>
        </w:rPr>
        <w:t xml:space="preserve">(emphasizing the importance of </w:t>
      </w:r>
      <w:r w:rsidR="00CD7179">
        <w:rPr>
          <w:lang w:val="en-IE"/>
        </w:rPr>
        <w:t xml:space="preserve">aspects </w:t>
      </w:r>
      <w:r>
        <w:rPr>
          <w:lang w:val="en-IE"/>
        </w:rPr>
        <w:t>such as avoiding lock in, modular architecture and in-time replacement of legacy systems)</w:t>
      </w:r>
      <w:r w:rsidR="00BC265E">
        <w:rPr>
          <w:lang w:val="en-IE"/>
        </w:rPr>
        <w:t>.</w:t>
      </w:r>
      <w:r>
        <w:rPr>
          <w:lang w:val="en-IE"/>
        </w:rPr>
        <w:t xml:space="preserve">  </w:t>
      </w:r>
    </w:p>
    <w:p w14:paraId="40FBDD33" w14:textId="77777777" w:rsidR="00CD7179" w:rsidRDefault="00CD7179" w:rsidP="00760E39">
      <w:pPr>
        <w:pStyle w:val="NoSpacing"/>
        <w:rPr>
          <w:lang w:val="en-IE"/>
        </w:rPr>
      </w:pPr>
    </w:p>
    <w:p w14:paraId="4BA47261" w14:textId="103AC41E" w:rsidR="001A2078" w:rsidRPr="0059550D" w:rsidRDefault="001A2078" w:rsidP="00EB186D">
      <w:pPr>
        <w:pStyle w:val="NoSpacing"/>
        <w:spacing w:after="120"/>
        <w:rPr>
          <w:lang w:val="en-IE"/>
        </w:rPr>
      </w:pPr>
      <w:r>
        <w:rPr>
          <w:lang w:val="en-IE"/>
        </w:rPr>
        <w:t>General considerations</w:t>
      </w:r>
      <w:r w:rsidR="00760E39" w:rsidRPr="0059550D">
        <w:rPr>
          <w:lang w:val="en-IE"/>
        </w:rPr>
        <w:t>:</w:t>
      </w:r>
    </w:p>
    <w:p w14:paraId="08BAE1F0" w14:textId="7BEB9711" w:rsidR="00760E39" w:rsidRPr="0059550D" w:rsidRDefault="00760E39" w:rsidP="00760E39">
      <w:pPr>
        <w:pStyle w:val="NoSpacing"/>
        <w:numPr>
          <w:ilvl w:val="0"/>
          <w:numId w:val="33"/>
        </w:numPr>
        <w:rPr>
          <w:lang w:val="en-IE"/>
        </w:rPr>
      </w:pPr>
      <w:r w:rsidRPr="0059550D">
        <w:rPr>
          <w:lang w:val="en-IE"/>
        </w:rPr>
        <w:t>The major problem of governments developing their own solutions is the lack of experience and staff</w:t>
      </w:r>
      <w:r w:rsidR="001A2078">
        <w:rPr>
          <w:lang w:val="en-IE"/>
        </w:rPr>
        <w:t>; while t</w:t>
      </w:r>
      <w:r w:rsidRPr="0059550D">
        <w:rPr>
          <w:lang w:val="en-IE"/>
        </w:rPr>
        <w:t>he major problem of procuring solutions is the inability to apply agile methods</w:t>
      </w:r>
      <w:r w:rsidRPr="0059550D">
        <w:rPr>
          <w:rStyle w:val="FootnoteReference"/>
          <w:lang w:val="en-IE"/>
        </w:rPr>
        <w:footnoteReference w:id="77"/>
      </w:r>
      <w:r w:rsidRPr="0059550D">
        <w:rPr>
          <w:lang w:val="en-IE"/>
        </w:rPr>
        <w:t xml:space="preserve">. Attempts at overcoming the latter include using competitive dialogues and innovative partnerships. For simpler systems, design contests followed up </w:t>
      </w:r>
      <w:r w:rsidR="00401821">
        <w:rPr>
          <w:lang w:val="en-IE"/>
        </w:rPr>
        <w:t xml:space="preserve">by </w:t>
      </w:r>
      <w:r w:rsidRPr="0059550D">
        <w:rPr>
          <w:lang w:val="en-IE"/>
        </w:rPr>
        <w:t>service contract for IT developments may also be useful.</w:t>
      </w:r>
    </w:p>
    <w:p w14:paraId="047A790D" w14:textId="45F14188" w:rsidR="00760E39" w:rsidRPr="0059550D" w:rsidRDefault="00760E39" w:rsidP="00760E39">
      <w:pPr>
        <w:pStyle w:val="NoSpacing"/>
        <w:numPr>
          <w:ilvl w:val="0"/>
          <w:numId w:val="33"/>
        </w:numPr>
        <w:rPr>
          <w:lang w:val="en-IE"/>
        </w:rPr>
      </w:pPr>
      <w:r w:rsidRPr="0059550D">
        <w:rPr>
          <w:lang w:val="en-IE"/>
        </w:rPr>
        <w:t>When running procurement procedures, attracting tenderers is crucial. For eForms, economic operators with experience in the procurement domain include eSenders</w:t>
      </w:r>
      <w:r w:rsidRPr="0059550D">
        <w:rPr>
          <w:rStyle w:val="FootnoteReference"/>
          <w:lang w:val="en-IE"/>
        </w:rPr>
        <w:footnoteReference w:id="78"/>
      </w:r>
      <w:r w:rsidR="00EB028F">
        <w:rPr>
          <w:lang w:val="en-IE"/>
        </w:rPr>
        <w:t>,</w:t>
      </w:r>
      <w:r w:rsidRPr="0059550D">
        <w:rPr>
          <w:lang w:val="en-IE"/>
        </w:rPr>
        <w:t xml:space="preserve"> ESPD service providers</w:t>
      </w:r>
      <w:r w:rsidRPr="0059550D">
        <w:rPr>
          <w:rStyle w:val="FootnoteReference"/>
          <w:lang w:val="en-IE"/>
        </w:rPr>
        <w:footnoteReference w:id="79"/>
      </w:r>
      <w:r w:rsidR="00EB028F">
        <w:rPr>
          <w:lang w:val="en-IE"/>
        </w:rPr>
        <w:t xml:space="preserve"> and eProcurement service providers in general</w:t>
      </w:r>
      <w:r w:rsidRPr="0059550D">
        <w:rPr>
          <w:lang w:val="en-IE"/>
        </w:rPr>
        <w:t xml:space="preserve">. Informing them about </w:t>
      </w:r>
      <w:r w:rsidR="00401821">
        <w:rPr>
          <w:lang w:val="en-IE"/>
        </w:rPr>
        <w:t xml:space="preserve">the launch of </w:t>
      </w:r>
      <w:r w:rsidRPr="0059550D">
        <w:rPr>
          <w:lang w:val="en-IE"/>
        </w:rPr>
        <w:t xml:space="preserve">procedures </w:t>
      </w:r>
      <w:r w:rsidR="00401821">
        <w:rPr>
          <w:lang w:val="en-IE"/>
        </w:rPr>
        <w:t xml:space="preserve">for the implementation of the eForms </w:t>
      </w:r>
      <w:r w:rsidRPr="0059550D">
        <w:rPr>
          <w:lang w:val="en-IE"/>
        </w:rPr>
        <w:t xml:space="preserve">may be a way to increase the number of tenderers. </w:t>
      </w:r>
    </w:p>
    <w:p w14:paraId="6982986D" w14:textId="77777777" w:rsidR="00760E39" w:rsidRPr="0059550D" w:rsidRDefault="00760E39" w:rsidP="00760E39">
      <w:pPr>
        <w:rPr>
          <w:lang w:val="en-IE"/>
        </w:rPr>
      </w:pPr>
    </w:p>
    <w:p w14:paraId="2EC765B0" w14:textId="15560D99" w:rsidR="00401821" w:rsidRDefault="00401821" w:rsidP="00EB186D">
      <w:pPr>
        <w:spacing w:after="120" w:line="25" w:lineRule="atLeast"/>
        <w:jc w:val="both"/>
        <w:rPr>
          <w:lang w:val="en-IE"/>
        </w:rPr>
      </w:pPr>
      <w:r>
        <w:rPr>
          <w:lang w:val="en-IE"/>
        </w:rPr>
        <w:t>Support measures:</w:t>
      </w:r>
    </w:p>
    <w:p w14:paraId="4ABA5C91" w14:textId="2038AE59" w:rsidR="00401821" w:rsidRPr="00817128" w:rsidRDefault="00401821" w:rsidP="00EB186D">
      <w:pPr>
        <w:pStyle w:val="ListParagraph"/>
        <w:numPr>
          <w:ilvl w:val="0"/>
          <w:numId w:val="66"/>
        </w:numPr>
        <w:spacing w:after="240" w:line="25" w:lineRule="atLeast"/>
        <w:jc w:val="both"/>
        <w:rPr>
          <w:szCs w:val="24"/>
          <w:lang w:val="en-IE"/>
        </w:rPr>
      </w:pPr>
      <w:r w:rsidRPr="00401821">
        <w:rPr>
          <w:lang w:val="en-IE"/>
        </w:rPr>
        <w:t xml:space="preserve">The Publications Office is currently developing </w:t>
      </w:r>
      <w:r w:rsidR="00760E39" w:rsidRPr="00EF0138">
        <w:rPr>
          <w:szCs w:val="24"/>
          <w:lang w:val="en-IE"/>
        </w:rPr>
        <w:t>a new version of the eNotices application</w:t>
      </w:r>
      <w:r w:rsidR="00EB028F">
        <w:rPr>
          <w:szCs w:val="24"/>
          <w:lang w:val="en-IE"/>
        </w:rPr>
        <w:t>.</w:t>
      </w:r>
      <w:r w:rsidR="00760E39" w:rsidRPr="00EF0138">
        <w:rPr>
          <w:szCs w:val="24"/>
          <w:lang w:val="en-IE"/>
        </w:rPr>
        <w:t xml:space="preserve"> </w:t>
      </w:r>
    </w:p>
    <w:p w14:paraId="521E69FC" w14:textId="57C8A018" w:rsidR="00760E39" w:rsidRDefault="00760E39" w:rsidP="00EB186D">
      <w:pPr>
        <w:pStyle w:val="ListParagraph"/>
        <w:numPr>
          <w:ilvl w:val="0"/>
          <w:numId w:val="66"/>
        </w:numPr>
        <w:spacing w:after="240" w:line="25" w:lineRule="atLeast"/>
        <w:jc w:val="both"/>
        <w:rPr>
          <w:lang w:val="en-IE"/>
        </w:rPr>
      </w:pPr>
      <w:r w:rsidRPr="00817128">
        <w:rPr>
          <w:iCs/>
          <w:szCs w:val="24"/>
          <w:lang w:val="en-IE"/>
        </w:rPr>
        <w:t>The Publications Office will provide the forms</w:t>
      </w:r>
      <w:r w:rsidR="005E75D8">
        <w:rPr>
          <w:iCs/>
          <w:szCs w:val="24"/>
          <w:lang w:val="en-IE"/>
        </w:rPr>
        <w:t>,</w:t>
      </w:r>
      <w:r w:rsidRPr="00817128">
        <w:rPr>
          <w:iCs/>
          <w:szCs w:val="24"/>
          <w:lang w:val="en-IE"/>
        </w:rPr>
        <w:t xml:space="preserve"> </w:t>
      </w:r>
      <w:r w:rsidR="005E75D8">
        <w:rPr>
          <w:iCs/>
          <w:szCs w:val="24"/>
          <w:lang w:val="en-IE"/>
        </w:rPr>
        <w:t xml:space="preserve">as foreseen in the eForms Implementing Regulation, to be filled-in in its new eNotices application (eNotices2) </w:t>
      </w:r>
      <w:r w:rsidRPr="00817128">
        <w:rPr>
          <w:iCs/>
          <w:szCs w:val="24"/>
          <w:lang w:val="en-IE"/>
        </w:rPr>
        <w:t xml:space="preserve">and a series of </w:t>
      </w:r>
      <w:r w:rsidR="005E75D8">
        <w:rPr>
          <w:iCs/>
          <w:szCs w:val="24"/>
          <w:lang w:val="en-IE"/>
        </w:rPr>
        <w:t>machine</w:t>
      </w:r>
      <w:r w:rsidR="00B8665C">
        <w:rPr>
          <w:iCs/>
          <w:szCs w:val="24"/>
          <w:lang w:val="en-IE"/>
        </w:rPr>
        <w:t>-to-</w:t>
      </w:r>
      <w:r w:rsidR="005E75D8">
        <w:rPr>
          <w:iCs/>
          <w:szCs w:val="24"/>
          <w:lang w:val="en-IE"/>
        </w:rPr>
        <w:t xml:space="preserve">machine </w:t>
      </w:r>
      <w:r w:rsidRPr="00817128">
        <w:rPr>
          <w:iCs/>
          <w:szCs w:val="24"/>
          <w:lang w:val="en-IE"/>
        </w:rPr>
        <w:t xml:space="preserve">services (APIs) that </w:t>
      </w:r>
      <w:r w:rsidR="00FD55C5">
        <w:rPr>
          <w:iCs/>
          <w:szCs w:val="24"/>
          <w:lang w:val="en-IE"/>
        </w:rPr>
        <w:t>third</w:t>
      </w:r>
      <w:r w:rsidR="00FD55C5" w:rsidRPr="00817128">
        <w:rPr>
          <w:iCs/>
          <w:szCs w:val="24"/>
          <w:lang w:val="en-IE"/>
        </w:rPr>
        <w:t xml:space="preserve"> </w:t>
      </w:r>
      <w:r w:rsidRPr="00817128">
        <w:rPr>
          <w:iCs/>
          <w:szCs w:val="24"/>
          <w:lang w:val="en-IE"/>
        </w:rPr>
        <w:t xml:space="preserve">parties can </w:t>
      </w:r>
      <w:r w:rsidR="00C16B94" w:rsidRPr="00817128">
        <w:rPr>
          <w:iCs/>
          <w:szCs w:val="24"/>
          <w:lang w:val="en-IE"/>
        </w:rPr>
        <w:t>inte</w:t>
      </w:r>
      <w:r w:rsidR="00C16B94">
        <w:rPr>
          <w:iCs/>
          <w:szCs w:val="24"/>
          <w:lang w:val="en-IE"/>
        </w:rPr>
        <w:t>rface</w:t>
      </w:r>
      <w:r w:rsidR="00C16B94" w:rsidRPr="00817128">
        <w:rPr>
          <w:iCs/>
          <w:szCs w:val="24"/>
          <w:lang w:val="en-IE"/>
        </w:rPr>
        <w:t xml:space="preserve"> </w:t>
      </w:r>
      <w:r w:rsidR="00C16B94">
        <w:rPr>
          <w:iCs/>
          <w:szCs w:val="24"/>
          <w:lang w:val="en-IE"/>
        </w:rPr>
        <w:t xml:space="preserve">with </w:t>
      </w:r>
      <w:r w:rsidRPr="00817128">
        <w:rPr>
          <w:iCs/>
          <w:szCs w:val="24"/>
          <w:lang w:val="en-IE"/>
        </w:rPr>
        <w:t xml:space="preserve">in their applications; this </w:t>
      </w:r>
      <w:r w:rsidR="00C16B94">
        <w:rPr>
          <w:iCs/>
          <w:szCs w:val="24"/>
          <w:lang w:val="en-IE"/>
        </w:rPr>
        <w:t>could</w:t>
      </w:r>
      <w:r w:rsidR="00C16B94" w:rsidRPr="00331F24">
        <w:rPr>
          <w:iCs/>
          <w:szCs w:val="24"/>
          <w:lang w:val="en-IE"/>
        </w:rPr>
        <w:t xml:space="preserve"> </w:t>
      </w:r>
      <w:r w:rsidRPr="00331F24">
        <w:rPr>
          <w:iCs/>
          <w:szCs w:val="24"/>
          <w:lang w:val="en-IE"/>
        </w:rPr>
        <w:t>make the development of their own applications faster and easier.</w:t>
      </w:r>
      <w:r w:rsidRPr="001B3FE9">
        <w:rPr>
          <w:lang w:val="en-IE"/>
        </w:rPr>
        <w:t xml:space="preserve"> </w:t>
      </w:r>
      <w:r w:rsidR="005E75D8">
        <w:rPr>
          <w:lang w:val="en-IE"/>
        </w:rPr>
        <w:t>As soon as these artefacts are developed / implemented information on their usage</w:t>
      </w:r>
      <w:r w:rsidR="00B53A49">
        <w:rPr>
          <w:lang w:val="en-IE"/>
        </w:rPr>
        <w:t xml:space="preserve"> / availability </w:t>
      </w:r>
      <w:r w:rsidR="005E75D8">
        <w:rPr>
          <w:lang w:val="en-IE"/>
        </w:rPr>
        <w:t xml:space="preserve">will be </w:t>
      </w:r>
      <w:r w:rsidR="00B53A49">
        <w:rPr>
          <w:lang w:val="en-IE"/>
        </w:rPr>
        <w:t>published</w:t>
      </w:r>
      <w:r w:rsidR="005E75D8">
        <w:rPr>
          <w:lang w:val="en-IE"/>
        </w:rPr>
        <w:t>.</w:t>
      </w:r>
      <w:r w:rsidR="005E75D8" w:rsidRPr="001B3FE9" w:rsidDel="005E75D8">
        <w:rPr>
          <w:lang w:val="en-IE"/>
        </w:rPr>
        <w:t xml:space="preserve"> </w:t>
      </w:r>
    </w:p>
    <w:p w14:paraId="1F374B66" w14:textId="3B0A8F3D" w:rsidR="006A2FB3" w:rsidRPr="0059550D" w:rsidRDefault="006A2FB3" w:rsidP="007343E0">
      <w:pPr>
        <w:spacing w:after="240" w:line="25" w:lineRule="atLeast"/>
        <w:jc w:val="both"/>
        <w:rPr>
          <w:szCs w:val="24"/>
          <w:lang w:val="en-IE"/>
        </w:rPr>
        <w:sectPr w:rsidR="006A2FB3" w:rsidRPr="0059550D" w:rsidSect="0043072D">
          <w:footerReference w:type="default" r:id="rId22"/>
          <w:headerReference w:type="first" r:id="rId23"/>
          <w:footerReference w:type="first" r:id="rId24"/>
          <w:pgSz w:w="11906" w:h="16838"/>
          <w:pgMar w:top="1417" w:right="1417" w:bottom="1417" w:left="1417" w:header="708" w:footer="708" w:gutter="0"/>
          <w:cols w:space="708"/>
          <w:docGrid w:linePitch="360"/>
        </w:sectPr>
      </w:pPr>
      <w:bookmarkStart w:id="73" w:name="_Ref19032788"/>
    </w:p>
    <w:p w14:paraId="639C5A62" w14:textId="499166FD" w:rsidR="00A702FB" w:rsidRPr="0059550D" w:rsidRDefault="00BC265E" w:rsidP="00EB186D">
      <w:pPr>
        <w:pStyle w:val="Heading1"/>
        <w:numPr>
          <w:ilvl w:val="0"/>
          <w:numId w:val="0"/>
        </w:numPr>
        <w:ind w:left="432" w:hanging="432"/>
        <w:rPr>
          <w:lang w:val="en-IE"/>
        </w:rPr>
      </w:pPr>
      <w:bookmarkStart w:id="74" w:name="_Ref20134598"/>
      <w:bookmarkStart w:id="75" w:name="_Toc25684107"/>
      <w:r>
        <w:rPr>
          <w:lang w:val="en-IE"/>
        </w:rPr>
        <w:lastRenderedPageBreak/>
        <w:t>Checklist 1</w:t>
      </w:r>
      <w:r w:rsidR="00075259" w:rsidRPr="0059550D">
        <w:rPr>
          <w:lang w:val="en-IE"/>
        </w:rPr>
        <w:t xml:space="preserve"> – T</w:t>
      </w:r>
      <w:r w:rsidR="00801F00" w:rsidRPr="0059550D">
        <w:rPr>
          <w:lang w:val="en-IE"/>
        </w:rPr>
        <w:t xml:space="preserve">ailoring </w:t>
      </w:r>
      <w:r w:rsidR="006D608E" w:rsidRPr="0059550D">
        <w:rPr>
          <w:lang w:val="en-IE"/>
        </w:rPr>
        <w:t>fields</w:t>
      </w:r>
      <w:bookmarkEnd w:id="73"/>
      <w:bookmarkEnd w:id="74"/>
      <w:bookmarkEnd w:id="75"/>
    </w:p>
    <w:p w14:paraId="0B8FFC66" w14:textId="23F7365C" w:rsidR="002E6DD1" w:rsidRPr="0059550D" w:rsidRDefault="002E6DD1" w:rsidP="00214E3A">
      <w:pPr>
        <w:pStyle w:val="NoSpacing"/>
        <w:rPr>
          <w:lang w:val="en-IE"/>
        </w:rPr>
      </w:pPr>
    </w:p>
    <w:p w14:paraId="13561CEB" w14:textId="3D94A436" w:rsidR="005C0F0B" w:rsidRPr="0059550D" w:rsidRDefault="005C0F0B" w:rsidP="005C0F0B">
      <w:pPr>
        <w:pStyle w:val="NoSpacing"/>
        <w:rPr>
          <w:lang w:val="en-IE"/>
        </w:rPr>
      </w:pPr>
      <w:r w:rsidRPr="0059550D">
        <w:rPr>
          <w:lang w:val="en-IE"/>
        </w:rPr>
        <w:t xml:space="preserve">As discussed in </w:t>
      </w:r>
      <w:r w:rsidRPr="0059550D">
        <w:rPr>
          <w:lang w:val="en-IE"/>
        </w:rPr>
        <w:fldChar w:fldCharType="begin"/>
      </w:r>
      <w:r w:rsidRPr="0059550D">
        <w:rPr>
          <w:lang w:val="en-IE"/>
        </w:rPr>
        <w:instrText xml:space="preserve"> REF _Ref19291697 \r \h </w:instrText>
      </w:r>
      <w:r w:rsidRPr="0059550D">
        <w:rPr>
          <w:lang w:val="en-IE"/>
        </w:rPr>
      </w:r>
      <w:r w:rsidRPr="0059550D">
        <w:rPr>
          <w:lang w:val="en-IE"/>
        </w:rPr>
        <w:fldChar w:fldCharType="separate"/>
      </w:r>
      <w:r w:rsidR="00031242">
        <w:rPr>
          <w:lang w:val="en-IE"/>
        </w:rPr>
        <w:t>3.5</w:t>
      </w:r>
      <w:r w:rsidRPr="0059550D">
        <w:rPr>
          <w:lang w:val="en-IE"/>
        </w:rPr>
        <w:fldChar w:fldCharType="end"/>
      </w:r>
      <w:r w:rsidRPr="0059550D">
        <w:rPr>
          <w:lang w:val="en-IE"/>
        </w:rPr>
        <w:t>, fields need to be tailored in several ways:</w:t>
      </w:r>
    </w:p>
    <w:p w14:paraId="4B872F27" w14:textId="5DA158E5" w:rsidR="005C0F0B" w:rsidRPr="0059550D" w:rsidRDefault="005C0F0B" w:rsidP="00DC6C47">
      <w:pPr>
        <w:pStyle w:val="NoSpacing"/>
        <w:numPr>
          <w:ilvl w:val="0"/>
          <w:numId w:val="17"/>
        </w:numPr>
        <w:rPr>
          <w:lang w:val="en-IE"/>
        </w:rPr>
      </w:pPr>
      <w:r w:rsidRPr="0059550D">
        <w:rPr>
          <w:lang w:val="en-IE"/>
        </w:rPr>
        <w:t>Making optional fields mandatory</w:t>
      </w:r>
      <w:r w:rsidR="00FF3AD7">
        <w:rPr>
          <w:rStyle w:val="FootnoteReference"/>
          <w:lang w:val="en-IE"/>
        </w:rPr>
        <w:footnoteReference w:id="80"/>
      </w:r>
      <w:r w:rsidRPr="0059550D">
        <w:rPr>
          <w:lang w:val="en-IE"/>
        </w:rPr>
        <w:t xml:space="preserve">, leaving them optional or not using them at all. </w:t>
      </w:r>
    </w:p>
    <w:p w14:paraId="63DB46BB" w14:textId="4C423300" w:rsidR="005C0F0B" w:rsidRPr="0059550D" w:rsidRDefault="005C0F0B" w:rsidP="00DC6C47">
      <w:pPr>
        <w:pStyle w:val="NoSpacing"/>
        <w:numPr>
          <w:ilvl w:val="0"/>
          <w:numId w:val="17"/>
        </w:numPr>
        <w:rPr>
          <w:lang w:val="en-IE"/>
        </w:rPr>
      </w:pPr>
      <w:r w:rsidRPr="0059550D">
        <w:rPr>
          <w:lang w:val="en-IE"/>
        </w:rPr>
        <w:t xml:space="preserve">Making certain fields always or never published, not </w:t>
      </w:r>
      <w:r w:rsidR="000F381C" w:rsidRPr="0059550D">
        <w:rPr>
          <w:lang w:val="en-IE"/>
        </w:rPr>
        <w:t xml:space="preserve">published </w:t>
      </w:r>
      <w:r w:rsidRPr="0059550D">
        <w:rPr>
          <w:lang w:val="en-IE"/>
        </w:rPr>
        <w:t>case by case.</w:t>
      </w:r>
    </w:p>
    <w:p w14:paraId="293BC686" w14:textId="4BDF9506" w:rsidR="000C27B5" w:rsidRPr="0059550D" w:rsidRDefault="000C27B5" w:rsidP="00DC6C47">
      <w:pPr>
        <w:pStyle w:val="NoSpacing"/>
        <w:numPr>
          <w:ilvl w:val="0"/>
          <w:numId w:val="17"/>
        </w:numPr>
        <w:rPr>
          <w:lang w:val="en-IE"/>
        </w:rPr>
      </w:pPr>
      <w:r w:rsidRPr="0059550D">
        <w:rPr>
          <w:lang w:val="en-IE"/>
        </w:rPr>
        <w:t xml:space="preserve">Making certain fields always identical for the whole procedure, not differentiable per lot. </w:t>
      </w:r>
    </w:p>
    <w:p w14:paraId="3D8EEBA0" w14:textId="1D7C34D1" w:rsidR="005C0F0B" w:rsidRPr="0059550D" w:rsidRDefault="005C0F0B" w:rsidP="00214E3A">
      <w:pPr>
        <w:pStyle w:val="NoSpacing"/>
        <w:rPr>
          <w:lang w:val="en-IE"/>
        </w:rPr>
      </w:pPr>
    </w:p>
    <w:p w14:paraId="6C86429A" w14:textId="2A8C9A14" w:rsidR="008C54D0" w:rsidRPr="0059550D" w:rsidRDefault="007D35B1" w:rsidP="008C54D0">
      <w:pPr>
        <w:pStyle w:val="NoSpacing"/>
        <w:rPr>
          <w:lang w:val="en-IE"/>
        </w:rPr>
      </w:pPr>
      <w:r w:rsidRPr="0059550D">
        <w:rPr>
          <w:lang w:val="en-IE"/>
        </w:rPr>
        <w:fldChar w:fldCharType="begin"/>
      </w:r>
      <w:r w:rsidRPr="0059550D">
        <w:rPr>
          <w:lang w:val="en-IE"/>
        </w:rPr>
        <w:instrText xml:space="preserve"> REF _Ref19527224 \h </w:instrText>
      </w:r>
      <w:r w:rsidRPr="0059550D">
        <w:rPr>
          <w:lang w:val="en-IE"/>
        </w:rPr>
      </w:r>
      <w:r w:rsidRPr="0059550D">
        <w:rPr>
          <w:lang w:val="en-IE"/>
        </w:rPr>
        <w:fldChar w:fldCharType="separate"/>
      </w:r>
      <w:r w:rsidR="00031242" w:rsidRPr="0059550D">
        <w:rPr>
          <w:lang w:val="en-IE"/>
        </w:rPr>
        <w:t xml:space="preserve">Table </w:t>
      </w:r>
      <w:r w:rsidR="00031242">
        <w:rPr>
          <w:noProof/>
          <w:lang w:val="en-IE"/>
        </w:rPr>
        <w:t>1</w:t>
      </w:r>
      <w:r w:rsidRPr="0059550D">
        <w:rPr>
          <w:lang w:val="en-IE"/>
        </w:rPr>
        <w:fldChar w:fldCharType="end"/>
      </w:r>
      <w:r w:rsidRPr="0059550D">
        <w:rPr>
          <w:lang w:val="en-IE"/>
        </w:rPr>
        <w:t xml:space="preserve"> </w:t>
      </w:r>
      <w:r w:rsidRPr="0059550D">
        <w:rPr>
          <w:lang w:val="en-IE"/>
        </w:rPr>
        <w:fldChar w:fldCharType="begin"/>
      </w:r>
      <w:r w:rsidRPr="0059550D">
        <w:rPr>
          <w:lang w:val="en-IE"/>
        </w:rPr>
        <w:instrText xml:space="preserve"> REF _Ref19527220 \p \h </w:instrText>
      </w:r>
      <w:r w:rsidRPr="0059550D">
        <w:rPr>
          <w:lang w:val="en-IE"/>
        </w:rPr>
      </w:r>
      <w:r w:rsidRPr="0059550D">
        <w:rPr>
          <w:lang w:val="en-IE"/>
        </w:rPr>
        <w:fldChar w:fldCharType="separate"/>
      </w:r>
      <w:r w:rsidR="00031242">
        <w:rPr>
          <w:lang w:val="en-IE"/>
        </w:rPr>
        <w:t>below</w:t>
      </w:r>
      <w:r w:rsidRPr="0059550D">
        <w:rPr>
          <w:lang w:val="en-IE"/>
        </w:rPr>
        <w:fldChar w:fldCharType="end"/>
      </w:r>
      <w:r w:rsidRPr="0059550D">
        <w:rPr>
          <w:lang w:val="en-IE"/>
        </w:rPr>
        <w:t xml:space="preserve"> lists </w:t>
      </w:r>
      <w:r w:rsidR="00A80755" w:rsidRPr="0059550D">
        <w:rPr>
          <w:lang w:val="en-IE"/>
        </w:rPr>
        <w:t xml:space="preserve">the </w:t>
      </w:r>
      <w:r w:rsidR="00A84F4C" w:rsidRPr="0059550D">
        <w:rPr>
          <w:lang w:val="en-IE"/>
        </w:rPr>
        <w:t xml:space="preserve">main fields for which a decision should be taken. </w:t>
      </w:r>
      <w:r w:rsidR="008A6DB8" w:rsidRPr="0059550D">
        <w:rPr>
          <w:rFonts w:cstheme="minorHAnsi"/>
          <w:lang w:val="en-IE"/>
        </w:rPr>
        <w:t xml:space="preserve">The fields are listed in the same order as in the eForms’ Annex (i.e. not in the order of importance). </w:t>
      </w:r>
      <w:r w:rsidR="00FD4806" w:rsidRPr="0059550D">
        <w:rPr>
          <w:lang w:val="en-IE"/>
        </w:rPr>
        <w:t xml:space="preserve">When multiple fields need to be decided upon together, they are included in one row. </w:t>
      </w:r>
      <w:r w:rsidR="004430BE" w:rsidRPr="0059550D">
        <w:rPr>
          <w:rFonts w:cstheme="minorHAnsi"/>
          <w:lang w:val="en-IE"/>
        </w:rPr>
        <w:t xml:space="preserve">The table </w:t>
      </w:r>
      <w:r w:rsidR="004430BE" w:rsidRPr="0059550D">
        <w:rPr>
          <w:lang w:val="en-IE"/>
        </w:rPr>
        <w:t>includes the fields</w:t>
      </w:r>
      <w:r w:rsidR="00DB4300" w:rsidRPr="0059550D">
        <w:rPr>
          <w:lang w:val="en-IE"/>
        </w:rPr>
        <w:t>’</w:t>
      </w:r>
      <w:r w:rsidR="004430BE" w:rsidRPr="0059550D">
        <w:rPr>
          <w:lang w:val="en-IE"/>
        </w:rPr>
        <w:t xml:space="preserve"> name and description</w:t>
      </w:r>
      <w:r w:rsidR="00DB4300" w:rsidRPr="0059550D">
        <w:rPr>
          <w:lang w:val="en-IE"/>
        </w:rPr>
        <w:t>, with l</w:t>
      </w:r>
      <w:r w:rsidR="004430BE" w:rsidRPr="0059550D">
        <w:rPr>
          <w:lang w:val="en-IE"/>
        </w:rPr>
        <w:t xml:space="preserve">ong </w:t>
      </w:r>
      <w:r w:rsidR="00234211" w:rsidRPr="0059550D">
        <w:rPr>
          <w:lang w:val="en-IE"/>
        </w:rPr>
        <w:t>descriptions</w:t>
      </w:r>
      <w:r w:rsidR="004430BE" w:rsidRPr="0059550D">
        <w:rPr>
          <w:lang w:val="en-IE"/>
        </w:rPr>
        <w:t xml:space="preserve"> [shortened]</w:t>
      </w:r>
      <w:r w:rsidR="00DB4300" w:rsidRPr="0059550D">
        <w:rPr>
          <w:lang w:val="en-IE"/>
        </w:rPr>
        <w:t>,</w:t>
      </w:r>
      <w:r w:rsidR="004430BE" w:rsidRPr="0059550D">
        <w:rPr>
          <w:lang w:val="en-IE"/>
        </w:rPr>
        <w:t xml:space="preserve"> [merged]</w:t>
      </w:r>
      <w:r w:rsidR="00DB4300" w:rsidRPr="0059550D">
        <w:rPr>
          <w:lang w:val="en-IE"/>
        </w:rPr>
        <w:t xml:space="preserve"> or [skipped] - the full information is available is in the Regulation’s Annex</w:t>
      </w:r>
      <w:r w:rsidR="004430BE" w:rsidRPr="0059550D">
        <w:rPr>
          <w:lang w:val="en-IE"/>
        </w:rPr>
        <w:t xml:space="preserve">. </w:t>
      </w:r>
      <w:r w:rsidR="00DB4300" w:rsidRPr="0059550D">
        <w:rPr>
          <w:lang w:val="en-IE"/>
        </w:rPr>
        <w:t>Additionally, the table contains t</w:t>
      </w:r>
      <w:r w:rsidR="004430BE" w:rsidRPr="0059550D">
        <w:rPr>
          <w:lang w:val="en-IE"/>
        </w:rPr>
        <w:t xml:space="preserve">he decision-relevant </w:t>
      </w:r>
      <w:r w:rsidR="00DB4300" w:rsidRPr="0059550D">
        <w:rPr>
          <w:lang w:val="en-IE"/>
        </w:rPr>
        <w:t>information, which is split into the “</w:t>
      </w:r>
      <w:r w:rsidR="00F66C73" w:rsidRPr="0059550D">
        <w:rPr>
          <w:b/>
          <w:lang w:val="en-IE"/>
        </w:rPr>
        <w:t>R</w:t>
      </w:r>
      <w:r w:rsidR="000148E5" w:rsidRPr="0059550D">
        <w:rPr>
          <w:b/>
          <w:lang w:val="en-IE"/>
        </w:rPr>
        <w:t>easons for Mandatory</w:t>
      </w:r>
      <w:r w:rsidR="00DB4300" w:rsidRPr="0059550D">
        <w:rPr>
          <w:lang w:val="en-IE"/>
        </w:rPr>
        <w:t>”,</w:t>
      </w:r>
      <w:r w:rsidR="00F66C73" w:rsidRPr="0059550D">
        <w:rPr>
          <w:lang w:val="en-IE"/>
        </w:rPr>
        <w:t xml:space="preserve"> </w:t>
      </w:r>
      <w:r w:rsidR="00DB4300" w:rsidRPr="0059550D">
        <w:rPr>
          <w:lang w:val="en-IE"/>
        </w:rPr>
        <w:t>“</w:t>
      </w:r>
      <w:r w:rsidR="00DB4300" w:rsidRPr="0059550D">
        <w:rPr>
          <w:b/>
          <w:lang w:val="en-IE"/>
        </w:rPr>
        <w:t xml:space="preserve">Reasons </w:t>
      </w:r>
      <w:r w:rsidR="000148E5" w:rsidRPr="0059550D">
        <w:rPr>
          <w:b/>
          <w:lang w:val="en-IE"/>
        </w:rPr>
        <w:t>for Optional</w:t>
      </w:r>
      <w:r w:rsidR="00DB4300" w:rsidRPr="0059550D">
        <w:rPr>
          <w:lang w:val="en-IE"/>
        </w:rPr>
        <w:t>”, “</w:t>
      </w:r>
      <w:r w:rsidR="00DB4300" w:rsidRPr="0059550D">
        <w:rPr>
          <w:b/>
          <w:lang w:val="en-IE"/>
        </w:rPr>
        <w:t xml:space="preserve">Reasons </w:t>
      </w:r>
      <w:r w:rsidR="000148E5" w:rsidRPr="0059550D">
        <w:rPr>
          <w:b/>
          <w:lang w:val="en-IE"/>
        </w:rPr>
        <w:t>for Unused</w:t>
      </w:r>
      <w:r w:rsidR="00DB4300" w:rsidRPr="0059550D">
        <w:rPr>
          <w:lang w:val="en-IE"/>
        </w:rPr>
        <w:t>”,</w:t>
      </w:r>
      <w:r w:rsidR="00F66C73" w:rsidRPr="0059550D">
        <w:rPr>
          <w:lang w:val="en-IE"/>
        </w:rPr>
        <w:t xml:space="preserve"> </w:t>
      </w:r>
      <w:r w:rsidR="00DB4300" w:rsidRPr="0059550D">
        <w:rPr>
          <w:lang w:val="en-IE"/>
        </w:rPr>
        <w:t>“</w:t>
      </w:r>
      <w:r w:rsidR="00DB4300" w:rsidRPr="0059550D">
        <w:rPr>
          <w:b/>
          <w:lang w:val="en-IE"/>
        </w:rPr>
        <w:t xml:space="preserve">Reasons </w:t>
      </w:r>
      <w:r w:rsidR="000148E5" w:rsidRPr="0059550D">
        <w:rPr>
          <w:b/>
          <w:szCs w:val="24"/>
          <w:lang w:val="en-IE"/>
        </w:rPr>
        <w:t>for collected, but always unpublished</w:t>
      </w:r>
      <w:r w:rsidR="00DB4300" w:rsidRPr="0059550D">
        <w:rPr>
          <w:szCs w:val="24"/>
          <w:lang w:val="en-IE"/>
        </w:rPr>
        <w:t>”, and “</w:t>
      </w:r>
      <w:r w:rsidR="00DB4300" w:rsidRPr="0059550D">
        <w:rPr>
          <w:b/>
          <w:szCs w:val="24"/>
          <w:lang w:val="en-IE"/>
        </w:rPr>
        <w:t>Reasons</w:t>
      </w:r>
      <w:r w:rsidR="00F66C73" w:rsidRPr="0059550D">
        <w:rPr>
          <w:b/>
          <w:szCs w:val="24"/>
          <w:lang w:val="en-IE"/>
        </w:rPr>
        <w:t xml:space="preserve"> </w:t>
      </w:r>
      <w:r w:rsidR="000148E5" w:rsidRPr="0059550D">
        <w:rPr>
          <w:b/>
          <w:lang w:val="en-IE"/>
        </w:rPr>
        <w:t>for always published</w:t>
      </w:r>
      <w:r w:rsidR="00DB4300" w:rsidRPr="0059550D">
        <w:rPr>
          <w:lang w:val="en-IE"/>
        </w:rPr>
        <w:t>”</w:t>
      </w:r>
      <w:r w:rsidR="00DB4300" w:rsidRPr="0059550D">
        <w:rPr>
          <w:rStyle w:val="FootnoteReference"/>
          <w:lang w:val="en-IE"/>
        </w:rPr>
        <w:footnoteReference w:id="81"/>
      </w:r>
      <w:r w:rsidR="00F66C73" w:rsidRPr="0059550D">
        <w:rPr>
          <w:lang w:val="en-IE"/>
        </w:rPr>
        <w:t xml:space="preserve">. </w:t>
      </w:r>
    </w:p>
    <w:p w14:paraId="36181510" w14:textId="742658D7" w:rsidR="007D35B1" w:rsidRPr="0059550D" w:rsidRDefault="007D35B1" w:rsidP="00E105F7">
      <w:pPr>
        <w:pStyle w:val="Caption"/>
        <w:rPr>
          <w:lang w:val="en-IE"/>
        </w:rPr>
      </w:pPr>
      <w:bookmarkStart w:id="76" w:name="_Ref19527224"/>
      <w:bookmarkStart w:id="77" w:name="_Ref19527220"/>
      <w:r w:rsidRPr="0059550D">
        <w:rPr>
          <w:lang w:val="en-IE"/>
        </w:rPr>
        <w:t xml:space="preserve">Table </w:t>
      </w:r>
      <w:r w:rsidR="00A10223" w:rsidRPr="0059550D">
        <w:rPr>
          <w:lang w:val="en-IE"/>
        </w:rPr>
        <w:fldChar w:fldCharType="begin"/>
      </w:r>
      <w:r w:rsidR="00A10223" w:rsidRPr="0059550D">
        <w:rPr>
          <w:lang w:val="en-IE"/>
        </w:rPr>
        <w:instrText xml:space="preserve"> SEQ Table \* ARABIC </w:instrText>
      </w:r>
      <w:r w:rsidR="00A10223" w:rsidRPr="0059550D">
        <w:rPr>
          <w:lang w:val="en-IE"/>
        </w:rPr>
        <w:fldChar w:fldCharType="separate"/>
      </w:r>
      <w:r w:rsidR="00031242">
        <w:rPr>
          <w:noProof/>
          <w:lang w:val="en-IE"/>
        </w:rPr>
        <w:t>1</w:t>
      </w:r>
      <w:r w:rsidR="00A10223" w:rsidRPr="0059550D">
        <w:rPr>
          <w:lang w:val="en-IE"/>
        </w:rPr>
        <w:fldChar w:fldCharType="end"/>
      </w:r>
      <w:bookmarkEnd w:id="76"/>
      <w:r w:rsidRPr="0059550D">
        <w:rPr>
          <w:lang w:val="en-IE"/>
        </w:rPr>
        <w:t xml:space="preserve"> Fields</w:t>
      </w:r>
      <w:bookmarkEnd w:id="77"/>
    </w:p>
    <w:tbl>
      <w:tblPr>
        <w:tblStyle w:val="TableGrid"/>
        <w:tblW w:w="4947" w:type="pct"/>
        <w:tblLook w:val="04A0" w:firstRow="1" w:lastRow="0" w:firstColumn="1" w:lastColumn="0" w:noHBand="0" w:noVBand="1"/>
      </w:tblPr>
      <w:tblGrid>
        <w:gridCol w:w="740"/>
        <w:gridCol w:w="2316"/>
        <w:gridCol w:w="2510"/>
        <w:gridCol w:w="8503"/>
      </w:tblGrid>
      <w:tr w:rsidR="00AB6DDE" w:rsidRPr="0059550D" w14:paraId="5C17C7C0" w14:textId="29F7B8EA" w:rsidTr="008D6040">
        <w:trPr>
          <w:tblHeader/>
        </w:trPr>
        <w:tc>
          <w:tcPr>
            <w:tcW w:w="263" w:type="pct"/>
            <w:shd w:val="clear" w:color="auto" w:fill="8DB3E2" w:themeFill="text2" w:themeFillTint="66"/>
          </w:tcPr>
          <w:p w14:paraId="3D9E62F1" w14:textId="39DA6990" w:rsidR="00AB6DDE" w:rsidRPr="0059550D" w:rsidRDefault="00AB6DDE" w:rsidP="00AB6DDE">
            <w:pPr>
              <w:jc w:val="center"/>
              <w:rPr>
                <w:b/>
                <w:lang w:val="en-IE"/>
              </w:rPr>
            </w:pPr>
            <w:r w:rsidRPr="0059550D">
              <w:rPr>
                <w:b/>
                <w:lang w:val="en-IE"/>
              </w:rPr>
              <w:t>#</w:t>
            </w:r>
          </w:p>
        </w:tc>
        <w:tc>
          <w:tcPr>
            <w:tcW w:w="823" w:type="pct"/>
            <w:shd w:val="clear" w:color="auto" w:fill="8DB3E2" w:themeFill="text2" w:themeFillTint="66"/>
          </w:tcPr>
          <w:p w14:paraId="2DACC7B6" w14:textId="7D72F142" w:rsidR="00AB6DDE" w:rsidRPr="0059550D" w:rsidRDefault="00AB6DDE" w:rsidP="00782E67">
            <w:pPr>
              <w:rPr>
                <w:b/>
                <w:lang w:val="en-IE"/>
              </w:rPr>
            </w:pPr>
            <w:r w:rsidRPr="0059550D">
              <w:rPr>
                <w:b/>
                <w:lang w:val="en-IE"/>
              </w:rPr>
              <w:t>Name</w:t>
            </w:r>
          </w:p>
        </w:tc>
        <w:tc>
          <w:tcPr>
            <w:tcW w:w="892" w:type="pct"/>
            <w:shd w:val="clear" w:color="auto" w:fill="8DB3E2" w:themeFill="text2" w:themeFillTint="66"/>
          </w:tcPr>
          <w:p w14:paraId="58764D22" w14:textId="2F1DA586" w:rsidR="00AB6DDE" w:rsidRPr="0059550D" w:rsidRDefault="00AB6DDE" w:rsidP="008A59E7">
            <w:pPr>
              <w:rPr>
                <w:b/>
                <w:lang w:val="en-IE"/>
              </w:rPr>
            </w:pPr>
            <w:r w:rsidRPr="0059550D">
              <w:rPr>
                <w:b/>
                <w:lang w:val="en-IE"/>
              </w:rPr>
              <w:t>Description</w:t>
            </w:r>
          </w:p>
        </w:tc>
        <w:tc>
          <w:tcPr>
            <w:tcW w:w="3022" w:type="pct"/>
            <w:shd w:val="clear" w:color="auto" w:fill="8DB3E2" w:themeFill="text2" w:themeFillTint="66"/>
          </w:tcPr>
          <w:p w14:paraId="4D79FE26" w14:textId="72965E78" w:rsidR="00AB6DDE" w:rsidRPr="0059550D" w:rsidRDefault="00AB6DDE" w:rsidP="00782E67">
            <w:pPr>
              <w:rPr>
                <w:b/>
                <w:lang w:val="en-IE"/>
              </w:rPr>
            </w:pPr>
            <w:r w:rsidRPr="0059550D">
              <w:rPr>
                <w:b/>
                <w:lang w:val="en-IE"/>
              </w:rPr>
              <w:t>Decision-relevant information</w:t>
            </w:r>
          </w:p>
        </w:tc>
      </w:tr>
      <w:tr w:rsidR="00625F9F" w:rsidRPr="0059550D" w14:paraId="4F28BB21" w14:textId="77777777" w:rsidTr="008D6040">
        <w:tc>
          <w:tcPr>
            <w:tcW w:w="263" w:type="pct"/>
            <w:shd w:val="clear" w:color="auto" w:fill="8DB3E2" w:themeFill="text2" w:themeFillTint="66"/>
            <w:vAlign w:val="center"/>
          </w:tcPr>
          <w:p w14:paraId="7933FAFF" w14:textId="0583947A" w:rsidR="00625F9F" w:rsidRPr="00EB186D" w:rsidRDefault="00F40B5B" w:rsidP="00F40B5B">
            <w:pPr>
              <w:jc w:val="center"/>
              <w:rPr>
                <w:i/>
                <w:szCs w:val="24"/>
                <w:lang w:val="en-IE"/>
              </w:rPr>
            </w:pPr>
            <w:r>
              <w:rPr>
                <w:i/>
                <w:szCs w:val="24"/>
                <w:lang w:val="en-IE"/>
              </w:rPr>
              <w:t>1</w:t>
            </w:r>
          </w:p>
        </w:tc>
        <w:tc>
          <w:tcPr>
            <w:tcW w:w="823" w:type="pct"/>
            <w:shd w:val="clear" w:color="auto" w:fill="8DB3E2" w:themeFill="text2" w:themeFillTint="66"/>
            <w:vAlign w:val="center"/>
          </w:tcPr>
          <w:p w14:paraId="7CEE1EC5" w14:textId="77777777" w:rsidR="00625F9F" w:rsidRDefault="00625F9F" w:rsidP="00952D33">
            <w:pPr>
              <w:rPr>
                <w:i/>
                <w:szCs w:val="24"/>
                <w:lang w:val="en-IE"/>
              </w:rPr>
            </w:pPr>
            <w:r w:rsidRPr="00625F9F">
              <w:rPr>
                <w:i/>
                <w:szCs w:val="24"/>
                <w:lang w:val="en-IE"/>
              </w:rPr>
              <w:t>Notice Publication Date Preferred</w:t>
            </w:r>
          </w:p>
          <w:p w14:paraId="5A310F48" w14:textId="0549E598" w:rsidR="00625F9F" w:rsidRPr="0059550D" w:rsidRDefault="00625F9F" w:rsidP="00952D33">
            <w:pPr>
              <w:rPr>
                <w:i/>
                <w:szCs w:val="24"/>
                <w:lang w:val="en-IE"/>
              </w:rPr>
            </w:pPr>
            <w:r>
              <w:rPr>
                <w:i/>
                <w:szCs w:val="24"/>
                <w:lang w:val="en-IE"/>
              </w:rPr>
              <w:t>(BT-738)</w:t>
            </w:r>
          </w:p>
        </w:tc>
        <w:tc>
          <w:tcPr>
            <w:tcW w:w="892" w:type="pct"/>
            <w:shd w:val="clear" w:color="auto" w:fill="8DB3E2" w:themeFill="text2" w:themeFillTint="66"/>
            <w:vAlign w:val="center"/>
          </w:tcPr>
          <w:p w14:paraId="272426BB" w14:textId="47CEF28D" w:rsidR="00625F9F" w:rsidRPr="0059550D" w:rsidRDefault="00625F9F" w:rsidP="00952D33">
            <w:pPr>
              <w:rPr>
                <w:lang w:val="en-IE"/>
              </w:rPr>
            </w:pPr>
            <w:r>
              <w:rPr>
                <w:lang w:val="en-IE"/>
              </w:rPr>
              <w:t>“</w:t>
            </w:r>
            <w:r w:rsidRPr="00EB186D">
              <w:rPr>
                <w:i/>
                <w:lang w:val="en-IE"/>
              </w:rPr>
              <w:t>The preferred date of publication of the notice on TED (e.g. to avoid publication during a national holiday)</w:t>
            </w:r>
            <w:r w:rsidRPr="00625F9F">
              <w:rPr>
                <w:lang w:val="en-IE"/>
              </w:rPr>
              <w:t>.</w:t>
            </w:r>
            <w:r>
              <w:rPr>
                <w:lang w:val="en-IE"/>
              </w:rPr>
              <w:t>”</w:t>
            </w:r>
          </w:p>
        </w:tc>
        <w:tc>
          <w:tcPr>
            <w:tcW w:w="3022" w:type="pct"/>
          </w:tcPr>
          <w:p w14:paraId="37D7FFA2" w14:textId="77777777" w:rsidR="00625F9F" w:rsidRPr="0059550D" w:rsidRDefault="00625F9F" w:rsidP="00625F9F">
            <w:pPr>
              <w:rPr>
                <w:szCs w:val="24"/>
                <w:lang w:val="en-IE"/>
              </w:rPr>
            </w:pPr>
            <w:r w:rsidRPr="0059550D">
              <w:rPr>
                <w:b/>
                <w:lang w:val="en-IE"/>
              </w:rPr>
              <w:t>Reasons for Mandatory</w:t>
            </w:r>
          </w:p>
          <w:p w14:paraId="4A4C9E65" w14:textId="77777777" w:rsidR="00625F9F" w:rsidRDefault="00625F9F" w:rsidP="00782E67">
            <w:pPr>
              <w:rPr>
                <w:lang w:val="en-IE"/>
              </w:rPr>
            </w:pPr>
            <w:r w:rsidRPr="00625F9F">
              <w:rPr>
                <w:lang w:val="en-IE"/>
              </w:rPr>
              <w:t>None.</w:t>
            </w:r>
          </w:p>
          <w:p w14:paraId="054FB8BF" w14:textId="77777777" w:rsidR="00625F9F" w:rsidRDefault="00625F9F" w:rsidP="00782E67">
            <w:pPr>
              <w:rPr>
                <w:lang w:val="en-IE"/>
              </w:rPr>
            </w:pPr>
          </w:p>
          <w:p w14:paraId="2D5CD454" w14:textId="77777777" w:rsidR="00625F9F" w:rsidRDefault="00625F9F" w:rsidP="00782E67">
            <w:pPr>
              <w:rPr>
                <w:b/>
                <w:lang w:val="en-IE"/>
              </w:rPr>
            </w:pPr>
            <w:r w:rsidRPr="00625F9F">
              <w:rPr>
                <w:b/>
                <w:lang w:val="en-IE"/>
              </w:rPr>
              <w:t>Reasons for Optional</w:t>
            </w:r>
          </w:p>
          <w:p w14:paraId="44118907" w14:textId="56CBBAB9" w:rsidR="00625F9F" w:rsidRDefault="00625F9F" w:rsidP="00625F9F">
            <w:pPr>
              <w:rPr>
                <w:lang w:val="en-IE"/>
              </w:rPr>
            </w:pPr>
            <w:r>
              <w:rPr>
                <w:lang w:val="en-IE"/>
              </w:rPr>
              <w:t>Having control over the day on which a notice can be published on TED may be useful to ensure publication on the same day on national and TED level, in case of national holidays, or when additional deadlines (e.g. public opening of tenders) depend on the date of the notice’s publication.</w:t>
            </w:r>
          </w:p>
          <w:p w14:paraId="39BBAA15" w14:textId="77777777" w:rsidR="00625F9F" w:rsidRDefault="00625F9F" w:rsidP="00625F9F">
            <w:pPr>
              <w:rPr>
                <w:lang w:val="en-IE"/>
              </w:rPr>
            </w:pPr>
          </w:p>
          <w:p w14:paraId="7295BA77" w14:textId="77777777" w:rsidR="00625F9F" w:rsidRDefault="00625F9F" w:rsidP="00625F9F">
            <w:pPr>
              <w:rPr>
                <w:b/>
                <w:lang w:val="en-IE"/>
              </w:rPr>
            </w:pPr>
            <w:r w:rsidRPr="00625F9F">
              <w:rPr>
                <w:b/>
                <w:lang w:val="en-IE"/>
              </w:rPr>
              <w:t>Reasons for Unused</w:t>
            </w:r>
          </w:p>
          <w:p w14:paraId="30EEAB27" w14:textId="450F27F2" w:rsidR="00625F9F" w:rsidRPr="00625F9F" w:rsidRDefault="00625F9F" w:rsidP="007455B8">
            <w:pPr>
              <w:rPr>
                <w:lang w:val="en-IE"/>
              </w:rPr>
            </w:pPr>
            <w:r>
              <w:rPr>
                <w:lang w:val="en-IE"/>
              </w:rPr>
              <w:t xml:space="preserve">In many countries, </w:t>
            </w:r>
            <w:r w:rsidR="007455B8">
              <w:rPr>
                <w:lang w:val="en-IE"/>
              </w:rPr>
              <w:t xml:space="preserve">the above-stated reasons are not important. </w:t>
            </w:r>
          </w:p>
        </w:tc>
      </w:tr>
      <w:tr w:rsidR="00AB6DDE" w:rsidRPr="0059550D" w14:paraId="698F3DDA" w14:textId="3607D7BF" w:rsidTr="008D6040">
        <w:tc>
          <w:tcPr>
            <w:tcW w:w="263" w:type="pct"/>
            <w:shd w:val="clear" w:color="auto" w:fill="8DB3E2" w:themeFill="text2" w:themeFillTint="66"/>
            <w:vAlign w:val="center"/>
          </w:tcPr>
          <w:p w14:paraId="2FDCA8A3" w14:textId="3CC3F03F" w:rsidR="00AB6DDE" w:rsidRPr="008F3E42" w:rsidRDefault="00F40B5B" w:rsidP="00AB6DDE">
            <w:pPr>
              <w:jc w:val="center"/>
              <w:rPr>
                <w:i/>
                <w:szCs w:val="24"/>
                <w:lang w:val="en-IE"/>
              </w:rPr>
            </w:pPr>
            <w:r>
              <w:rPr>
                <w:i/>
                <w:szCs w:val="24"/>
                <w:lang w:val="en-IE"/>
              </w:rPr>
              <w:t>2</w:t>
            </w:r>
          </w:p>
        </w:tc>
        <w:tc>
          <w:tcPr>
            <w:tcW w:w="823" w:type="pct"/>
            <w:shd w:val="clear" w:color="auto" w:fill="8DB3E2" w:themeFill="text2" w:themeFillTint="66"/>
            <w:vAlign w:val="center"/>
          </w:tcPr>
          <w:p w14:paraId="03EC2F67" w14:textId="6810CAB4" w:rsidR="00AB6DDE" w:rsidRPr="0059550D" w:rsidRDefault="00AB6DDE" w:rsidP="00952D33">
            <w:pPr>
              <w:rPr>
                <w:i/>
                <w:szCs w:val="24"/>
                <w:lang w:val="en-IE"/>
              </w:rPr>
            </w:pPr>
            <w:r w:rsidRPr="0059550D">
              <w:rPr>
                <w:i/>
                <w:szCs w:val="24"/>
                <w:lang w:val="en-IE"/>
              </w:rPr>
              <w:t xml:space="preserve">Organisation Identifier (BT-501) </w:t>
            </w:r>
          </w:p>
        </w:tc>
        <w:tc>
          <w:tcPr>
            <w:tcW w:w="892" w:type="pct"/>
            <w:shd w:val="clear" w:color="auto" w:fill="8DB3E2" w:themeFill="text2" w:themeFillTint="66"/>
            <w:vAlign w:val="center"/>
          </w:tcPr>
          <w:p w14:paraId="16E32603" w14:textId="6819A308" w:rsidR="00AB6DDE" w:rsidRPr="0059550D" w:rsidRDefault="00AB6DDE" w:rsidP="00952D33">
            <w:pPr>
              <w:rPr>
                <w:lang w:val="en-IE"/>
              </w:rPr>
            </w:pPr>
            <w:r w:rsidRPr="0059550D">
              <w:rPr>
                <w:lang w:val="en-IE"/>
              </w:rPr>
              <w:t>“</w:t>
            </w:r>
            <w:r w:rsidRPr="00EB186D">
              <w:rPr>
                <w:i/>
                <w:lang w:val="en-IE"/>
              </w:rPr>
              <w:t>An identifier of the organisation. All of the organisation's identifiers shall be given</w:t>
            </w:r>
            <w:r w:rsidRPr="0059550D">
              <w:rPr>
                <w:lang w:val="en-IE"/>
              </w:rPr>
              <w:t>.”</w:t>
            </w:r>
          </w:p>
        </w:tc>
        <w:tc>
          <w:tcPr>
            <w:tcW w:w="3022" w:type="pct"/>
          </w:tcPr>
          <w:p w14:paraId="6A86F0D7" w14:textId="17B51814" w:rsidR="00AB6DDE" w:rsidRPr="0059550D" w:rsidRDefault="00AB6DDE" w:rsidP="00782E67">
            <w:pPr>
              <w:rPr>
                <w:szCs w:val="24"/>
                <w:lang w:val="en-IE"/>
              </w:rPr>
            </w:pPr>
            <w:r w:rsidRPr="0059550D">
              <w:rPr>
                <w:b/>
                <w:lang w:val="en-IE"/>
              </w:rPr>
              <w:t>Reasons for Mandatory</w:t>
            </w:r>
          </w:p>
          <w:p w14:paraId="47D5107B" w14:textId="302A3B4D" w:rsidR="00AB6DDE" w:rsidRPr="0059550D" w:rsidRDefault="00AB6DDE" w:rsidP="00782E67">
            <w:pPr>
              <w:rPr>
                <w:szCs w:val="24"/>
                <w:lang w:val="en-IE"/>
              </w:rPr>
            </w:pPr>
            <w:r w:rsidRPr="0059550D">
              <w:rPr>
                <w:szCs w:val="24"/>
                <w:lang w:val="en-IE"/>
              </w:rPr>
              <w:t>This information is necessary for reliable identification of who is buying</w:t>
            </w:r>
            <w:r w:rsidR="008376F7">
              <w:rPr>
                <w:szCs w:val="24"/>
                <w:lang w:val="en-IE"/>
              </w:rPr>
              <w:t>,</w:t>
            </w:r>
            <w:r w:rsidRPr="0059550D">
              <w:rPr>
                <w:szCs w:val="24"/>
                <w:lang w:val="en-IE"/>
              </w:rPr>
              <w:t xml:space="preserve"> from whom, especially across multiple procedures. </w:t>
            </w:r>
          </w:p>
          <w:p w14:paraId="71DB60FA" w14:textId="08FAFE28" w:rsidR="00893212" w:rsidRPr="0059550D" w:rsidRDefault="00893212" w:rsidP="00782E67">
            <w:pPr>
              <w:rPr>
                <w:szCs w:val="24"/>
                <w:lang w:val="en-IE"/>
              </w:rPr>
            </w:pPr>
          </w:p>
          <w:p w14:paraId="51907A5D" w14:textId="7683499E" w:rsidR="00893212" w:rsidRPr="0059550D" w:rsidRDefault="00893212" w:rsidP="00893212">
            <w:pPr>
              <w:rPr>
                <w:lang w:val="en-IE"/>
              </w:rPr>
            </w:pPr>
            <w:r w:rsidRPr="0059550D">
              <w:rPr>
                <w:lang w:val="en-IE"/>
              </w:rPr>
              <w:lastRenderedPageBreak/>
              <w:t>For more information, see</w:t>
            </w:r>
            <w:r w:rsidR="00834823" w:rsidRPr="0059550D">
              <w:rPr>
                <w:lang w:val="en-IE"/>
              </w:rPr>
              <w:t xml:space="preserve"> section</w:t>
            </w:r>
            <w:r w:rsidR="007D2362" w:rsidRPr="0059550D">
              <w:rPr>
                <w:lang w:val="en-IE"/>
              </w:rPr>
              <w:t xml:space="preserve"> </w:t>
            </w:r>
            <w:r w:rsidR="007D2362" w:rsidRPr="0059550D">
              <w:rPr>
                <w:lang w:val="en-IE"/>
              </w:rPr>
              <w:fldChar w:fldCharType="begin"/>
            </w:r>
            <w:r w:rsidR="007D2362" w:rsidRPr="0059550D">
              <w:rPr>
                <w:lang w:val="en-IE"/>
              </w:rPr>
              <w:instrText xml:space="preserve"> REF _Ref20131998 \r \h </w:instrText>
            </w:r>
            <w:r w:rsidR="007D2362" w:rsidRPr="0059550D">
              <w:rPr>
                <w:lang w:val="en-IE"/>
              </w:rPr>
            </w:r>
            <w:r w:rsidR="007D2362" w:rsidRPr="0059550D">
              <w:rPr>
                <w:lang w:val="en-IE"/>
              </w:rPr>
              <w:fldChar w:fldCharType="separate"/>
            </w:r>
            <w:r w:rsidR="00031242">
              <w:rPr>
                <w:lang w:val="en-IE"/>
              </w:rPr>
              <w:t>3.7.1</w:t>
            </w:r>
            <w:r w:rsidR="007D2362" w:rsidRPr="0059550D">
              <w:rPr>
                <w:lang w:val="en-IE"/>
              </w:rPr>
              <w:fldChar w:fldCharType="end"/>
            </w:r>
            <w:r w:rsidRPr="0059550D">
              <w:rPr>
                <w:lang w:val="en-IE"/>
              </w:rPr>
              <w:t xml:space="preserve">. </w:t>
            </w:r>
          </w:p>
          <w:p w14:paraId="28F4A88D" w14:textId="2E27FAA9" w:rsidR="00AB6DDE" w:rsidRPr="0059550D" w:rsidRDefault="00AB6DDE" w:rsidP="00782E67">
            <w:pPr>
              <w:rPr>
                <w:szCs w:val="24"/>
                <w:lang w:val="en-IE"/>
              </w:rPr>
            </w:pPr>
          </w:p>
          <w:p w14:paraId="2BEEBF3C" w14:textId="77777777" w:rsidR="00AB6DDE" w:rsidRPr="0059550D" w:rsidRDefault="00AB6DDE" w:rsidP="00DC48A0">
            <w:pPr>
              <w:rPr>
                <w:szCs w:val="24"/>
                <w:lang w:val="en-IE"/>
              </w:rPr>
            </w:pPr>
            <w:r w:rsidRPr="0059550D">
              <w:rPr>
                <w:szCs w:val="24"/>
                <w:lang w:val="en-IE"/>
              </w:rPr>
              <w:t>(The field was left as optional only for notices under the defence directive and remedy directives, because it is not explicitly mentioned in the relevant parts of the legal text. This omission does not have a practical purpose, it is simply a result of the directives not having been amended together with the 2014 directives.)</w:t>
            </w:r>
          </w:p>
          <w:p w14:paraId="244E0B0B" w14:textId="77777777" w:rsidR="00AB6DDE" w:rsidRPr="0059550D" w:rsidRDefault="00AB6DDE" w:rsidP="00DC48A0">
            <w:pPr>
              <w:rPr>
                <w:szCs w:val="24"/>
                <w:lang w:val="en-IE"/>
              </w:rPr>
            </w:pPr>
          </w:p>
          <w:p w14:paraId="7381410B" w14:textId="77777777" w:rsidR="00AB6DDE" w:rsidRPr="0059550D" w:rsidRDefault="00AB6DDE" w:rsidP="00F66FD8">
            <w:pPr>
              <w:rPr>
                <w:szCs w:val="24"/>
                <w:lang w:val="en-IE"/>
              </w:rPr>
            </w:pPr>
            <w:r w:rsidRPr="0059550D">
              <w:rPr>
                <w:b/>
                <w:lang w:val="en-IE"/>
              </w:rPr>
              <w:t>Reasons for Optional or Unused</w:t>
            </w:r>
          </w:p>
          <w:p w14:paraId="2335FF48" w14:textId="1DCBF29E" w:rsidR="00AB6DDE" w:rsidRPr="0059550D" w:rsidRDefault="00AB6DDE" w:rsidP="00DC48A0">
            <w:pPr>
              <w:rPr>
                <w:szCs w:val="24"/>
                <w:lang w:val="en-IE"/>
              </w:rPr>
            </w:pPr>
            <w:r w:rsidRPr="0059550D">
              <w:rPr>
                <w:szCs w:val="24"/>
                <w:lang w:val="en-IE"/>
              </w:rPr>
              <w:t>None.</w:t>
            </w:r>
          </w:p>
        </w:tc>
      </w:tr>
      <w:tr w:rsidR="00E75906" w:rsidRPr="0059550D" w14:paraId="34D3EC81" w14:textId="77777777" w:rsidTr="008D6040">
        <w:tc>
          <w:tcPr>
            <w:tcW w:w="263" w:type="pct"/>
            <w:shd w:val="clear" w:color="auto" w:fill="8DB3E2" w:themeFill="text2" w:themeFillTint="66"/>
            <w:vAlign w:val="center"/>
          </w:tcPr>
          <w:p w14:paraId="6FB8374E" w14:textId="10A668F1" w:rsidR="00E75906" w:rsidRPr="0059550D" w:rsidRDefault="00832D5D" w:rsidP="00AB6DDE">
            <w:pPr>
              <w:jc w:val="center"/>
              <w:rPr>
                <w:lang w:val="en-IE"/>
              </w:rPr>
            </w:pPr>
            <w:r>
              <w:rPr>
                <w:lang w:val="en-IE"/>
              </w:rPr>
              <w:lastRenderedPageBreak/>
              <w:t>3</w:t>
            </w:r>
          </w:p>
        </w:tc>
        <w:tc>
          <w:tcPr>
            <w:tcW w:w="823" w:type="pct"/>
            <w:shd w:val="clear" w:color="auto" w:fill="8DB3E2" w:themeFill="text2" w:themeFillTint="66"/>
            <w:vAlign w:val="center"/>
          </w:tcPr>
          <w:p w14:paraId="092E90A5" w14:textId="6D5A83AD" w:rsidR="00E75906" w:rsidRPr="0059550D" w:rsidRDefault="00E75906" w:rsidP="00952D33">
            <w:pPr>
              <w:rPr>
                <w:lang w:val="en-IE"/>
              </w:rPr>
            </w:pPr>
            <w:r w:rsidRPr="0059550D">
              <w:rPr>
                <w:lang w:val="en-IE"/>
              </w:rPr>
              <w:t>Organisation Part Name (BT-16)</w:t>
            </w:r>
          </w:p>
        </w:tc>
        <w:tc>
          <w:tcPr>
            <w:tcW w:w="892" w:type="pct"/>
            <w:shd w:val="clear" w:color="auto" w:fill="8DB3E2" w:themeFill="text2" w:themeFillTint="66"/>
            <w:vAlign w:val="center"/>
          </w:tcPr>
          <w:p w14:paraId="5A6FAD3B" w14:textId="72CD5631" w:rsidR="00E75906" w:rsidRPr="0059550D" w:rsidRDefault="00E75906" w:rsidP="00952D33">
            <w:pPr>
              <w:rPr>
                <w:lang w:val="en-IE"/>
              </w:rPr>
            </w:pPr>
            <w:r w:rsidRPr="0059550D">
              <w:rPr>
                <w:lang w:val="en-IE"/>
              </w:rPr>
              <w:t>The name of a part of an organisation (e.g. the relevant department of a large buyer).</w:t>
            </w:r>
          </w:p>
        </w:tc>
        <w:tc>
          <w:tcPr>
            <w:tcW w:w="3022" w:type="pct"/>
          </w:tcPr>
          <w:p w14:paraId="44D00B74" w14:textId="77777777" w:rsidR="00E75906" w:rsidRPr="0059550D" w:rsidRDefault="00E75906" w:rsidP="00E75906">
            <w:pPr>
              <w:rPr>
                <w:szCs w:val="24"/>
                <w:lang w:val="en-IE"/>
              </w:rPr>
            </w:pPr>
            <w:r w:rsidRPr="0059550D">
              <w:rPr>
                <w:b/>
                <w:lang w:val="en-IE"/>
              </w:rPr>
              <w:t>Reasons for Mandatory</w:t>
            </w:r>
          </w:p>
          <w:p w14:paraId="28A716D4" w14:textId="77777777" w:rsidR="00E75906" w:rsidRPr="0059550D" w:rsidRDefault="00E75906" w:rsidP="002D06A3">
            <w:pPr>
              <w:rPr>
                <w:lang w:val="en-IE"/>
              </w:rPr>
            </w:pPr>
            <w:r w:rsidRPr="0059550D">
              <w:rPr>
                <w:lang w:val="en-IE"/>
              </w:rPr>
              <w:t>None</w:t>
            </w:r>
          </w:p>
          <w:p w14:paraId="1045678C" w14:textId="2698BE1A" w:rsidR="00E75906" w:rsidRPr="0059550D" w:rsidRDefault="00E75906" w:rsidP="002D06A3">
            <w:pPr>
              <w:rPr>
                <w:lang w:val="en-IE"/>
              </w:rPr>
            </w:pPr>
          </w:p>
          <w:p w14:paraId="23234CB1" w14:textId="3296F2BF" w:rsidR="00E75906" w:rsidRPr="0059550D" w:rsidRDefault="00E75906" w:rsidP="00E75906">
            <w:pPr>
              <w:rPr>
                <w:b/>
                <w:lang w:val="en-IE"/>
              </w:rPr>
            </w:pPr>
            <w:r w:rsidRPr="0059550D">
              <w:rPr>
                <w:b/>
                <w:lang w:val="en-IE"/>
              </w:rPr>
              <w:t xml:space="preserve">Reasons for Optional </w:t>
            </w:r>
          </w:p>
          <w:p w14:paraId="30228B2D" w14:textId="6B96F723" w:rsidR="008C4754" w:rsidRPr="0059550D" w:rsidRDefault="008C4754" w:rsidP="008C4754">
            <w:pPr>
              <w:rPr>
                <w:lang w:val="en-IE"/>
              </w:rPr>
            </w:pPr>
            <w:r w:rsidRPr="0059550D">
              <w:rPr>
                <w:lang w:val="en-IE"/>
              </w:rPr>
              <w:t xml:space="preserve">The field is useful for larger </w:t>
            </w:r>
            <w:r w:rsidR="00CC01BC">
              <w:rPr>
                <w:lang w:val="en-IE"/>
              </w:rPr>
              <w:t>buyers</w:t>
            </w:r>
            <w:r w:rsidRPr="0059550D">
              <w:rPr>
                <w:lang w:val="en-IE"/>
              </w:rPr>
              <w:t xml:space="preserve">. Having structured data on which notice comes from which part of the </w:t>
            </w:r>
            <w:r w:rsidR="00FE002D" w:rsidRPr="0059550D">
              <w:rPr>
                <w:lang w:val="en-IE"/>
              </w:rPr>
              <w:t xml:space="preserve">buyer </w:t>
            </w:r>
            <w:r w:rsidRPr="0059550D">
              <w:rPr>
                <w:lang w:val="en-IE"/>
              </w:rPr>
              <w:t xml:space="preserve">may be useful both for the </w:t>
            </w:r>
            <w:r w:rsidR="00FE002D" w:rsidRPr="0059550D">
              <w:rPr>
                <w:lang w:val="en-IE"/>
              </w:rPr>
              <w:t xml:space="preserve">buyer </w:t>
            </w:r>
            <w:r w:rsidRPr="0059550D">
              <w:rPr>
                <w:lang w:val="en-IE"/>
              </w:rPr>
              <w:t>itself (e.g. for monitoring purposes, spend analysis) and for companies</w:t>
            </w:r>
            <w:r w:rsidR="00FE002D" w:rsidRPr="0059550D">
              <w:rPr>
                <w:lang w:val="en-IE"/>
              </w:rPr>
              <w:t xml:space="preserve"> (e.g. to have a more precise idea of who they will be dealing with)</w:t>
            </w:r>
            <w:r w:rsidRPr="0059550D">
              <w:rPr>
                <w:lang w:val="en-IE"/>
              </w:rPr>
              <w:t xml:space="preserve">. To give an example, the European Commission (which is a single contracting authority) </w:t>
            </w:r>
            <w:r w:rsidR="00FE002D" w:rsidRPr="0059550D">
              <w:rPr>
                <w:lang w:val="en-IE"/>
              </w:rPr>
              <w:t xml:space="preserve">will use this field to </w:t>
            </w:r>
            <w:r w:rsidRPr="0059550D">
              <w:rPr>
                <w:lang w:val="en-IE"/>
              </w:rPr>
              <w:t xml:space="preserve">include the names of individual Directorates General. </w:t>
            </w:r>
          </w:p>
          <w:p w14:paraId="38420069" w14:textId="77777777" w:rsidR="008C4754" w:rsidRPr="0059550D" w:rsidRDefault="008C4754" w:rsidP="008C4754">
            <w:pPr>
              <w:rPr>
                <w:lang w:val="en-IE"/>
              </w:rPr>
            </w:pPr>
          </w:p>
          <w:p w14:paraId="2EDE720C" w14:textId="3CC7D132" w:rsidR="00E75906" w:rsidRPr="0059550D" w:rsidRDefault="00E75906" w:rsidP="00E75906">
            <w:pPr>
              <w:rPr>
                <w:szCs w:val="24"/>
                <w:lang w:val="en-IE"/>
              </w:rPr>
            </w:pPr>
            <w:r w:rsidRPr="0059550D">
              <w:rPr>
                <w:b/>
                <w:lang w:val="en-IE"/>
              </w:rPr>
              <w:t>Reasons for Unused</w:t>
            </w:r>
          </w:p>
          <w:p w14:paraId="09559F7B" w14:textId="301F9851" w:rsidR="00E75906" w:rsidRPr="0059550D" w:rsidRDefault="00205606" w:rsidP="002D06A3">
            <w:pPr>
              <w:rPr>
                <w:lang w:val="en-IE"/>
              </w:rPr>
            </w:pPr>
            <w:r w:rsidRPr="0059550D">
              <w:rPr>
                <w:lang w:val="en-IE"/>
              </w:rPr>
              <w:t xml:space="preserve">If users are only small </w:t>
            </w:r>
            <w:r w:rsidR="00171EA3" w:rsidRPr="0059550D">
              <w:rPr>
                <w:lang w:val="en-IE"/>
              </w:rPr>
              <w:t>buyers</w:t>
            </w:r>
            <w:r w:rsidRPr="0059550D">
              <w:rPr>
                <w:lang w:val="en-IE"/>
              </w:rPr>
              <w:t>, then this field is unlikely to serve any purpose.</w:t>
            </w:r>
          </w:p>
        </w:tc>
      </w:tr>
      <w:tr w:rsidR="0092321D" w:rsidRPr="0059550D" w14:paraId="5CD38E99" w14:textId="77777777" w:rsidTr="008D6040">
        <w:tc>
          <w:tcPr>
            <w:tcW w:w="263" w:type="pct"/>
            <w:shd w:val="clear" w:color="auto" w:fill="8DB3E2" w:themeFill="text2" w:themeFillTint="66"/>
            <w:vAlign w:val="center"/>
          </w:tcPr>
          <w:p w14:paraId="14B5713B" w14:textId="29EC5259" w:rsidR="0092321D" w:rsidRPr="0059550D" w:rsidRDefault="00832D5D" w:rsidP="00AB6DDE">
            <w:pPr>
              <w:jc w:val="center"/>
              <w:rPr>
                <w:lang w:val="en-IE"/>
              </w:rPr>
            </w:pPr>
            <w:r>
              <w:rPr>
                <w:lang w:val="en-IE"/>
              </w:rPr>
              <w:t>4</w:t>
            </w:r>
          </w:p>
        </w:tc>
        <w:tc>
          <w:tcPr>
            <w:tcW w:w="823" w:type="pct"/>
            <w:shd w:val="clear" w:color="auto" w:fill="8DB3E2" w:themeFill="text2" w:themeFillTint="66"/>
            <w:vAlign w:val="center"/>
          </w:tcPr>
          <w:p w14:paraId="0FC59930" w14:textId="4B28D729" w:rsidR="0092321D" w:rsidRPr="0059550D" w:rsidRDefault="0092321D" w:rsidP="00952D33">
            <w:pPr>
              <w:rPr>
                <w:lang w:val="en-IE"/>
              </w:rPr>
            </w:pPr>
            <w:r w:rsidRPr="0059550D">
              <w:rPr>
                <w:lang w:val="en-IE"/>
              </w:rPr>
              <w:t>Organisation eDelivery Gateway (BT-509)</w:t>
            </w:r>
          </w:p>
        </w:tc>
        <w:tc>
          <w:tcPr>
            <w:tcW w:w="892" w:type="pct"/>
            <w:shd w:val="clear" w:color="auto" w:fill="8DB3E2" w:themeFill="text2" w:themeFillTint="66"/>
            <w:vAlign w:val="center"/>
          </w:tcPr>
          <w:p w14:paraId="2A92751F" w14:textId="18148EDA" w:rsidR="0092321D" w:rsidRPr="0059550D" w:rsidRDefault="0092321D" w:rsidP="00952D33">
            <w:pPr>
              <w:rPr>
                <w:lang w:val="en-IE"/>
              </w:rPr>
            </w:pPr>
            <w:r w:rsidRPr="0059550D">
              <w:rPr>
                <w:lang w:val="en-IE"/>
              </w:rPr>
              <w:t>The organisation's uniform resource locator for exchange of data and documents.</w:t>
            </w:r>
          </w:p>
        </w:tc>
        <w:tc>
          <w:tcPr>
            <w:tcW w:w="3022" w:type="pct"/>
          </w:tcPr>
          <w:p w14:paraId="6ACAE679" w14:textId="1B6E1258" w:rsidR="0092321D" w:rsidRPr="0059550D" w:rsidRDefault="0092321D" w:rsidP="003D5B5B">
            <w:pPr>
              <w:pStyle w:val="NoSpacing"/>
              <w:rPr>
                <w:b/>
                <w:lang w:val="en-IE"/>
              </w:rPr>
            </w:pPr>
            <w:r w:rsidRPr="0059550D">
              <w:rPr>
                <w:b/>
                <w:lang w:val="en-IE"/>
              </w:rPr>
              <w:t>Reason for Mandatory or Optional</w:t>
            </w:r>
          </w:p>
          <w:p w14:paraId="68C28379" w14:textId="05E54D3F" w:rsidR="0092321D" w:rsidRPr="0059550D" w:rsidRDefault="0092321D" w:rsidP="003D5B5B">
            <w:pPr>
              <w:pStyle w:val="NoSpacing"/>
              <w:rPr>
                <w:lang w:val="en-IE"/>
              </w:rPr>
            </w:pPr>
            <w:r w:rsidRPr="0059550D">
              <w:rPr>
                <w:lang w:val="en-IE"/>
              </w:rPr>
              <w:t>eDelivery is the EU’s Connecting Europe Facility’s building block for exchanging electronic data between organisations in an interoperable, secure, reliable and trusted way</w:t>
            </w:r>
            <w:r w:rsidRPr="0059550D">
              <w:rPr>
                <w:rStyle w:val="FootnoteReference"/>
                <w:lang w:val="en-IE"/>
              </w:rPr>
              <w:footnoteReference w:id="82"/>
            </w:r>
            <w:r w:rsidRPr="0059550D">
              <w:rPr>
                <w:lang w:val="en-IE"/>
              </w:rPr>
              <w:t xml:space="preserve">. </w:t>
            </w:r>
            <w:r w:rsidR="009560DF" w:rsidRPr="0059550D">
              <w:rPr>
                <w:lang w:val="en-IE"/>
              </w:rPr>
              <w:t xml:space="preserve">In some </w:t>
            </w:r>
            <w:r w:rsidR="00232DD6" w:rsidRPr="0059550D">
              <w:rPr>
                <w:lang w:val="en-IE"/>
              </w:rPr>
              <w:t>countries</w:t>
            </w:r>
            <w:r w:rsidR="009560DF" w:rsidRPr="0059550D">
              <w:rPr>
                <w:lang w:val="en-IE"/>
              </w:rPr>
              <w:t xml:space="preserve">, eDelivery plays an important role in eInvoicing, eSubmission, and other eProcurement functionalities. </w:t>
            </w:r>
          </w:p>
          <w:p w14:paraId="79A348E1" w14:textId="5BED72D8" w:rsidR="0092321D" w:rsidRPr="0059550D" w:rsidRDefault="0092321D" w:rsidP="003D5B5B">
            <w:pPr>
              <w:pStyle w:val="NoSpacing"/>
              <w:rPr>
                <w:b/>
                <w:lang w:val="en-IE"/>
              </w:rPr>
            </w:pPr>
          </w:p>
          <w:p w14:paraId="3F5BA11C" w14:textId="2545678A" w:rsidR="0092321D" w:rsidRPr="0059550D" w:rsidRDefault="0092321D" w:rsidP="003D5B5B">
            <w:pPr>
              <w:pStyle w:val="NoSpacing"/>
              <w:rPr>
                <w:b/>
                <w:lang w:val="en-IE"/>
              </w:rPr>
            </w:pPr>
            <w:r w:rsidRPr="0059550D">
              <w:rPr>
                <w:b/>
                <w:lang w:val="en-IE"/>
              </w:rPr>
              <w:lastRenderedPageBreak/>
              <w:t>Reason for Unused</w:t>
            </w:r>
          </w:p>
          <w:p w14:paraId="4FA3DFF5" w14:textId="7C6525EB" w:rsidR="0092321D" w:rsidRPr="0059550D" w:rsidRDefault="0092321D" w:rsidP="00232DD6">
            <w:pPr>
              <w:pStyle w:val="NoSpacing"/>
              <w:rPr>
                <w:b/>
                <w:lang w:val="en-IE"/>
              </w:rPr>
            </w:pPr>
            <w:r w:rsidRPr="0059550D">
              <w:rPr>
                <w:lang w:val="en-IE"/>
              </w:rPr>
              <w:t xml:space="preserve">In </w:t>
            </w:r>
            <w:r w:rsidR="00232DD6" w:rsidRPr="0059550D">
              <w:rPr>
                <w:lang w:val="en-IE"/>
              </w:rPr>
              <w:t>some countries</w:t>
            </w:r>
            <w:r w:rsidRPr="0059550D">
              <w:rPr>
                <w:lang w:val="en-IE"/>
              </w:rPr>
              <w:t>,</w:t>
            </w:r>
            <w:r w:rsidR="009560DF" w:rsidRPr="0059550D">
              <w:rPr>
                <w:lang w:val="en-IE"/>
              </w:rPr>
              <w:t xml:space="preserve"> eDelivery is not </w:t>
            </w:r>
            <w:r w:rsidR="00232DD6" w:rsidRPr="0059550D">
              <w:rPr>
                <w:lang w:val="en-IE"/>
              </w:rPr>
              <w:t>supported</w:t>
            </w:r>
            <w:r w:rsidR="009560DF" w:rsidRPr="0059550D">
              <w:rPr>
                <w:lang w:val="en-IE"/>
              </w:rPr>
              <w:t xml:space="preserve">. </w:t>
            </w:r>
          </w:p>
        </w:tc>
      </w:tr>
      <w:tr w:rsidR="003D5B5B" w:rsidRPr="0059550D" w14:paraId="520B2028" w14:textId="77777777" w:rsidTr="008D6040">
        <w:tc>
          <w:tcPr>
            <w:tcW w:w="263" w:type="pct"/>
            <w:shd w:val="clear" w:color="auto" w:fill="8DB3E2" w:themeFill="text2" w:themeFillTint="66"/>
            <w:vAlign w:val="center"/>
          </w:tcPr>
          <w:p w14:paraId="09D4E28F" w14:textId="2F7E7662" w:rsidR="003D5B5B" w:rsidRPr="0059550D" w:rsidRDefault="00832D5D" w:rsidP="00AB6DDE">
            <w:pPr>
              <w:jc w:val="center"/>
              <w:rPr>
                <w:lang w:val="en-IE"/>
              </w:rPr>
            </w:pPr>
            <w:r>
              <w:rPr>
                <w:lang w:val="en-IE"/>
              </w:rPr>
              <w:lastRenderedPageBreak/>
              <w:t>5</w:t>
            </w:r>
          </w:p>
        </w:tc>
        <w:tc>
          <w:tcPr>
            <w:tcW w:w="823" w:type="pct"/>
            <w:shd w:val="clear" w:color="auto" w:fill="8DB3E2" w:themeFill="text2" w:themeFillTint="66"/>
            <w:vAlign w:val="center"/>
          </w:tcPr>
          <w:p w14:paraId="470436C8" w14:textId="4FAD4D21" w:rsidR="003D5B5B" w:rsidRPr="0059550D" w:rsidRDefault="003D5B5B" w:rsidP="00952D33">
            <w:pPr>
              <w:rPr>
                <w:lang w:val="en-IE"/>
              </w:rPr>
            </w:pPr>
            <w:r w:rsidRPr="0059550D">
              <w:rPr>
                <w:lang w:val="en-IE"/>
              </w:rPr>
              <w:t>Organisation Natural Person (BT-633)</w:t>
            </w:r>
          </w:p>
        </w:tc>
        <w:tc>
          <w:tcPr>
            <w:tcW w:w="892" w:type="pct"/>
            <w:shd w:val="clear" w:color="auto" w:fill="8DB3E2" w:themeFill="text2" w:themeFillTint="66"/>
            <w:vAlign w:val="center"/>
          </w:tcPr>
          <w:p w14:paraId="07B65E4B" w14:textId="364F38BD" w:rsidR="003D5B5B" w:rsidRPr="0059550D" w:rsidRDefault="003D5B5B" w:rsidP="00952D33">
            <w:pPr>
              <w:rPr>
                <w:lang w:val="en-IE"/>
              </w:rPr>
            </w:pPr>
            <w:r w:rsidRPr="0059550D">
              <w:rPr>
                <w:lang w:val="en-IE"/>
              </w:rPr>
              <w:t>“</w:t>
            </w:r>
            <w:r w:rsidRPr="00EB186D">
              <w:rPr>
                <w:i/>
                <w:lang w:val="en-IE"/>
              </w:rPr>
              <w:t>The organisation is a natural person.”</w:t>
            </w:r>
          </w:p>
        </w:tc>
        <w:tc>
          <w:tcPr>
            <w:tcW w:w="3022" w:type="pct"/>
          </w:tcPr>
          <w:p w14:paraId="02961E20" w14:textId="569C1DAD" w:rsidR="005304C2" w:rsidRPr="0059550D" w:rsidRDefault="005304C2" w:rsidP="003D5B5B">
            <w:pPr>
              <w:pStyle w:val="NoSpacing"/>
              <w:rPr>
                <w:b/>
                <w:lang w:val="en-IE"/>
              </w:rPr>
            </w:pPr>
            <w:r w:rsidRPr="0059550D">
              <w:rPr>
                <w:b/>
                <w:lang w:val="en-IE"/>
              </w:rPr>
              <w:t>Reason for Mandatory or Optional</w:t>
            </w:r>
          </w:p>
          <w:p w14:paraId="57D2B571" w14:textId="48FF2382" w:rsidR="005304C2" w:rsidRPr="0059550D" w:rsidRDefault="00B23E18" w:rsidP="00A40412">
            <w:pPr>
              <w:pStyle w:val="NoSpacing"/>
              <w:rPr>
                <w:lang w:val="en-IE"/>
              </w:rPr>
            </w:pPr>
            <w:r w:rsidRPr="0059550D">
              <w:rPr>
                <w:lang w:val="en-IE"/>
              </w:rPr>
              <w:t>The field</w:t>
            </w:r>
            <w:r w:rsidR="00485AA6" w:rsidRPr="0059550D">
              <w:rPr>
                <w:lang w:val="en-IE"/>
              </w:rPr>
              <w:t xml:space="preserve"> </w:t>
            </w:r>
            <w:r w:rsidR="00A40412">
              <w:rPr>
                <w:lang w:val="en-IE"/>
              </w:rPr>
              <w:t xml:space="preserve">can be used to manage personal data related to the General Data Protection Regulation. </w:t>
            </w:r>
          </w:p>
          <w:p w14:paraId="1987097A" w14:textId="6FFE5890" w:rsidR="003D5B5B" w:rsidRPr="0059550D" w:rsidRDefault="003D5B5B" w:rsidP="003D5B5B">
            <w:pPr>
              <w:pStyle w:val="NoSpacing"/>
              <w:rPr>
                <w:lang w:val="en-IE"/>
              </w:rPr>
            </w:pPr>
          </w:p>
          <w:p w14:paraId="43F5864F" w14:textId="6301F373" w:rsidR="005304C2" w:rsidRPr="0059550D" w:rsidRDefault="005304C2" w:rsidP="005304C2">
            <w:pPr>
              <w:pStyle w:val="NoSpacing"/>
              <w:rPr>
                <w:b/>
                <w:lang w:val="en-IE"/>
              </w:rPr>
            </w:pPr>
            <w:r w:rsidRPr="0059550D">
              <w:rPr>
                <w:b/>
                <w:lang w:val="en-IE"/>
              </w:rPr>
              <w:t>Reason for Unused</w:t>
            </w:r>
          </w:p>
          <w:p w14:paraId="7A4C093B" w14:textId="06604399" w:rsidR="003D5B5B" w:rsidRPr="001536E6" w:rsidRDefault="00A40412" w:rsidP="005304C2">
            <w:pPr>
              <w:pStyle w:val="NoSpacing"/>
              <w:rPr>
                <w:lang w:val="en-IE"/>
              </w:rPr>
            </w:pPr>
            <w:r>
              <w:rPr>
                <w:lang w:val="en-IE"/>
              </w:rPr>
              <w:t>The field may not be necessary if personal data is never present in notices or if it is managed in another manner.</w:t>
            </w:r>
          </w:p>
        </w:tc>
      </w:tr>
      <w:tr w:rsidR="00C53BBB" w:rsidRPr="0059550D" w14:paraId="4F9FE604" w14:textId="77777777" w:rsidTr="008D6040">
        <w:tc>
          <w:tcPr>
            <w:tcW w:w="263" w:type="pct"/>
            <w:shd w:val="clear" w:color="auto" w:fill="8DB3E2" w:themeFill="text2" w:themeFillTint="66"/>
            <w:vAlign w:val="center"/>
          </w:tcPr>
          <w:p w14:paraId="7C641891" w14:textId="21904952" w:rsidR="00C53BBB" w:rsidRPr="0059550D" w:rsidRDefault="00832D5D" w:rsidP="00AB6DDE">
            <w:pPr>
              <w:jc w:val="center"/>
              <w:rPr>
                <w:lang w:val="en-IE"/>
              </w:rPr>
            </w:pPr>
            <w:r>
              <w:rPr>
                <w:lang w:val="en-IE"/>
              </w:rPr>
              <w:t>6</w:t>
            </w:r>
          </w:p>
        </w:tc>
        <w:tc>
          <w:tcPr>
            <w:tcW w:w="823" w:type="pct"/>
            <w:shd w:val="clear" w:color="auto" w:fill="8DB3E2" w:themeFill="text2" w:themeFillTint="66"/>
            <w:vAlign w:val="center"/>
          </w:tcPr>
          <w:p w14:paraId="270F7ECB" w14:textId="11FECC77" w:rsidR="00C53BBB" w:rsidRPr="0059550D" w:rsidRDefault="00C53BBB" w:rsidP="00952D33">
            <w:pPr>
              <w:rPr>
                <w:lang w:val="en-IE"/>
              </w:rPr>
            </w:pPr>
            <w:r w:rsidRPr="0059550D">
              <w:rPr>
                <w:lang w:val="en-IE"/>
              </w:rPr>
              <w:t>Organisation Subrole</w:t>
            </w:r>
            <w:r w:rsidRPr="0059550D">
              <w:rPr>
                <w:lang w:val="en-IE"/>
              </w:rPr>
              <w:br/>
              <w:t>(BT-770)</w:t>
            </w:r>
          </w:p>
        </w:tc>
        <w:tc>
          <w:tcPr>
            <w:tcW w:w="892" w:type="pct"/>
            <w:shd w:val="clear" w:color="auto" w:fill="8DB3E2" w:themeFill="text2" w:themeFillTint="66"/>
            <w:vAlign w:val="center"/>
          </w:tcPr>
          <w:p w14:paraId="187FFF00" w14:textId="5F8451EF" w:rsidR="00C53BBB" w:rsidRPr="0059550D" w:rsidRDefault="004E6433" w:rsidP="00952D33">
            <w:pPr>
              <w:rPr>
                <w:lang w:val="en-IE"/>
              </w:rPr>
            </w:pPr>
            <w:r w:rsidRPr="0059550D">
              <w:rPr>
                <w:lang w:val="en-IE"/>
              </w:rPr>
              <w:t>“</w:t>
            </w:r>
            <w:r w:rsidRPr="00EB186D">
              <w:rPr>
                <w:i/>
                <w:lang w:val="en-IE"/>
              </w:rPr>
              <w:t>The sub-role of the organisation in the procurement procedure (e.g. group leader, organisation providing additional information about the procurement procedure).”</w:t>
            </w:r>
          </w:p>
        </w:tc>
        <w:tc>
          <w:tcPr>
            <w:tcW w:w="3022" w:type="pct"/>
          </w:tcPr>
          <w:p w14:paraId="119C5DE9" w14:textId="77777777" w:rsidR="00C53BBB" w:rsidRPr="0059550D" w:rsidRDefault="00403FE6" w:rsidP="002D06A3">
            <w:pPr>
              <w:rPr>
                <w:b/>
                <w:lang w:val="en-IE"/>
              </w:rPr>
            </w:pPr>
            <w:r w:rsidRPr="0059550D">
              <w:rPr>
                <w:b/>
                <w:lang w:val="en-IE"/>
              </w:rPr>
              <w:t>Reason for Mandatory or Unused</w:t>
            </w:r>
          </w:p>
          <w:p w14:paraId="0F96096E" w14:textId="77777777" w:rsidR="00403FE6" w:rsidRPr="0059550D" w:rsidRDefault="00403FE6" w:rsidP="002D06A3">
            <w:pPr>
              <w:rPr>
                <w:lang w:val="en-IE"/>
              </w:rPr>
            </w:pPr>
            <w:r w:rsidRPr="0059550D">
              <w:rPr>
                <w:lang w:val="en-IE"/>
              </w:rPr>
              <w:t>None.</w:t>
            </w:r>
          </w:p>
          <w:p w14:paraId="7724F2AC" w14:textId="77777777" w:rsidR="00403FE6" w:rsidRPr="0059550D" w:rsidRDefault="00403FE6" w:rsidP="002D06A3">
            <w:pPr>
              <w:rPr>
                <w:lang w:val="en-IE"/>
              </w:rPr>
            </w:pPr>
          </w:p>
          <w:p w14:paraId="1A3199AE" w14:textId="77777777" w:rsidR="00403FE6" w:rsidRPr="0059550D" w:rsidRDefault="00403FE6" w:rsidP="002D06A3">
            <w:pPr>
              <w:rPr>
                <w:b/>
                <w:lang w:val="en-IE"/>
              </w:rPr>
            </w:pPr>
            <w:r w:rsidRPr="0059550D">
              <w:rPr>
                <w:b/>
                <w:lang w:val="en-IE"/>
              </w:rPr>
              <w:t>Reasons for Optional</w:t>
            </w:r>
          </w:p>
          <w:p w14:paraId="016660E5" w14:textId="36F2AA03" w:rsidR="00403FE6" w:rsidRPr="0059550D" w:rsidRDefault="00AB4518" w:rsidP="0080084B">
            <w:pPr>
              <w:rPr>
                <w:lang w:val="en-IE"/>
              </w:rPr>
            </w:pPr>
            <w:r w:rsidRPr="0059550D">
              <w:rPr>
                <w:lang w:val="en-IE"/>
              </w:rPr>
              <w:t xml:space="preserve">The field </w:t>
            </w:r>
            <w:r w:rsidR="001817A4" w:rsidRPr="0059550D">
              <w:rPr>
                <w:lang w:val="en-IE"/>
              </w:rPr>
              <w:t xml:space="preserve">fulfils a core business need of indicating which organisation is responsible for providing additional information or indicating who is the group leader in case of consortia or joint procurement. It offers also a wide variety of more detailed roles, which are discussed in the BT-770 section of </w:t>
            </w:r>
            <w:r w:rsidR="000772DE" w:rsidRPr="0059550D">
              <w:rPr>
                <w:lang w:val="en-IE"/>
              </w:rPr>
              <w:fldChar w:fldCharType="begin"/>
            </w:r>
            <w:r w:rsidR="000772DE" w:rsidRPr="0059550D">
              <w:rPr>
                <w:lang w:val="en-IE"/>
              </w:rPr>
              <w:instrText xml:space="preserve"> REF _Ref19627570 \h </w:instrText>
            </w:r>
            <w:r w:rsidR="000772DE" w:rsidRPr="0059550D">
              <w:rPr>
                <w:lang w:val="en-IE"/>
              </w:rPr>
            </w:r>
            <w:r w:rsidR="000772DE" w:rsidRPr="0059550D">
              <w:rPr>
                <w:lang w:val="en-IE"/>
              </w:rPr>
              <w:fldChar w:fldCharType="separate"/>
            </w:r>
            <w:r w:rsidR="00031242">
              <w:rPr>
                <w:lang w:val="en-IE"/>
              </w:rPr>
              <w:t>Checklist 2</w:t>
            </w:r>
            <w:r w:rsidR="00031242" w:rsidRPr="0059550D">
              <w:rPr>
                <w:lang w:val="en-IE"/>
              </w:rPr>
              <w:t xml:space="preserve"> – Tailoring code</w:t>
            </w:r>
            <w:r w:rsidR="00031242">
              <w:rPr>
                <w:lang w:val="en-IE"/>
              </w:rPr>
              <w:t xml:space="preserve"> </w:t>
            </w:r>
            <w:r w:rsidR="00031242" w:rsidRPr="0059550D">
              <w:rPr>
                <w:lang w:val="en-IE"/>
              </w:rPr>
              <w:t>lists</w:t>
            </w:r>
            <w:r w:rsidR="000772DE" w:rsidRPr="0059550D">
              <w:rPr>
                <w:lang w:val="en-IE"/>
              </w:rPr>
              <w:fldChar w:fldCharType="end"/>
            </w:r>
            <w:r w:rsidR="000772DE" w:rsidRPr="0059550D">
              <w:rPr>
                <w:lang w:val="en-IE"/>
              </w:rPr>
              <w:t>.</w:t>
            </w:r>
          </w:p>
        </w:tc>
      </w:tr>
      <w:tr w:rsidR="00AB6DDE" w:rsidRPr="0059550D" w14:paraId="0A962289" w14:textId="77777777" w:rsidTr="008D6040">
        <w:tc>
          <w:tcPr>
            <w:tcW w:w="263" w:type="pct"/>
            <w:shd w:val="clear" w:color="auto" w:fill="8DB3E2" w:themeFill="text2" w:themeFillTint="66"/>
            <w:vAlign w:val="center"/>
          </w:tcPr>
          <w:p w14:paraId="04F6864F" w14:textId="309833FC" w:rsidR="00AB6DDE" w:rsidRPr="0059550D" w:rsidRDefault="00832D5D" w:rsidP="00AB6DDE">
            <w:pPr>
              <w:jc w:val="center"/>
              <w:rPr>
                <w:lang w:val="en-IE"/>
              </w:rPr>
            </w:pPr>
            <w:r>
              <w:rPr>
                <w:lang w:val="en-IE"/>
              </w:rPr>
              <w:t>7</w:t>
            </w:r>
          </w:p>
        </w:tc>
        <w:tc>
          <w:tcPr>
            <w:tcW w:w="823" w:type="pct"/>
            <w:shd w:val="clear" w:color="auto" w:fill="8DB3E2" w:themeFill="text2" w:themeFillTint="66"/>
            <w:vAlign w:val="center"/>
          </w:tcPr>
          <w:p w14:paraId="32D8BEF0" w14:textId="10A423F5" w:rsidR="00AB6DDE" w:rsidRPr="0059550D" w:rsidRDefault="00AB6DDE" w:rsidP="00952D33">
            <w:pPr>
              <w:rPr>
                <w:lang w:val="en-IE"/>
              </w:rPr>
            </w:pPr>
            <w:r w:rsidRPr="0059550D">
              <w:rPr>
                <w:lang w:val="en-IE"/>
              </w:rPr>
              <w:t>Buyer Legal Type</w:t>
            </w:r>
            <w:r w:rsidR="0092591A" w:rsidRPr="0059550D">
              <w:rPr>
                <w:lang w:val="en-IE"/>
              </w:rPr>
              <w:br/>
            </w:r>
            <w:r w:rsidRPr="0059550D">
              <w:rPr>
                <w:lang w:val="en-IE"/>
              </w:rPr>
              <w:t>(BT-11)</w:t>
            </w:r>
          </w:p>
        </w:tc>
        <w:tc>
          <w:tcPr>
            <w:tcW w:w="892" w:type="pct"/>
            <w:shd w:val="clear" w:color="auto" w:fill="8DB3E2" w:themeFill="text2" w:themeFillTint="66"/>
            <w:vAlign w:val="center"/>
          </w:tcPr>
          <w:p w14:paraId="4021C678" w14:textId="6ED38B30" w:rsidR="00AB6DDE" w:rsidRPr="0059550D" w:rsidRDefault="00AB6DDE" w:rsidP="00952D33">
            <w:pPr>
              <w:rPr>
                <w:lang w:val="en-IE"/>
              </w:rPr>
            </w:pPr>
            <w:r w:rsidRPr="0059550D">
              <w:rPr>
                <w:lang w:val="en-IE"/>
              </w:rPr>
              <w:t>“</w:t>
            </w:r>
            <w:r w:rsidRPr="00EB186D">
              <w:rPr>
                <w:i/>
                <w:lang w:val="en-IE"/>
              </w:rPr>
              <w:t>The type of buyer according to procurement legislation (e.g. central government authority, body governed by public law, public undertaking).”</w:t>
            </w:r>
          </w:p>
        </w:tc>
        <w:tc>
          <w:tcPr>
            <w:tcW w:w="3022" w:type="pct"/>
            <w:vAlign w:val="center"/>
          </w:tcPr>
          <w:p w14:paraId="448FB210" w14:textId="77777777" w:rsidR="00AB6DDE" w:rsidRPr="0059550D" w:rsidRDefault="00AB6DDE" w:rsidP="00E32992">
            <w:pPr>
              <w:rPr>
                <w:szCs w:val="24"/>
                <w:lang w:val="en-IE"/>
              </w:rPr>
            </w:pPr>
            <w:r w:rsidRPr="0059550D">
              <w:rPr>
                <w:b/>
                <w:lang w:val="en-IE"/>
              </w:rPr>
              <w:t>Reasons for Mandatory</w:t>
            </w:r>
          </w:p>
          <w:p w14:paraId="57AEF2F1" w14:textId="63739E0B" w:rsidR="00AB6DDE" w:rsidRPr="0059550D" w:rsidRDefault="00AB6DDE" w:rsidP="00E32992">
            <w:pPr>
              <w:rPr>
                <w:lang w:val="en-IE"/>
              </w:rPr>
            </w:pPr>
            <w:r w:rsidRPr="0059550D">
              <w:rPr>
                <w:lang w:val="en-IE"/>
              </w:rPr>
              <w:t xml:space="preserve">Gives policy information on who is buying, </w:t>
            </w:r>
            <w:r w:rsidR="002C0F6F" w:rsidRPr="0059550D">
              <w:rPr>
                <w:lang w:val="en-IE"/>
              </w:rPr>
              <w:t xml:space="preserve">which is </w:t>
            </w:r>
            <w:r w:rsidRPr="0059550D">
              <w:rPr>
                <w:lang w:val="en-IE"/>
              </w:rPr>
              <w:t xml:space="preserve">useful e.g. when evaluating national procurement law. </w:t>
            </w:r>
          </w:p>
          <w:p w14:paraId="6DAAED4D" w14:textId="77777777" w:rsidR="00AB6DDE" w:rsidRPr="0059550D" w:rsidRDefault="00AB6DDE" w:rsidP="00E32992">
            <w:pPr>
              <w:rPr>
                <w:lang w:val="en-IE"/>
              </w:rPr>
            </w:pPr>
          </w:p>
          <w:p w14:paraId="515E9670" w14:textId="77777777" w:rsidR="00AB6DDE" w:rsidRPr="0059550D" w:rsidRDefault="00AB6DDE" w:rsidP="00E32992">
            <w:pPr>
              <w:rPr>
                <w:lang w:val="en-IE"/>
              </w:rPr>
            </w:pPr>
            <w:r w:rsidRPr="0059550D">
              <w:rPr>
                <w:lang w:val="en-IE"/>
              </w:rPr>
              <w:t>Required to answer questions such as:</w:t>
            </w:r>
          </w:p>
          <w:p w14:paraId="34BE1D15" w14:textId="77777777" w:rsidR="00AB6DDE" w:rsidRPr="0059550D" w:rsidRDefault="00AB6DDE" w:rsidP="00E32992">
            <w:pPr>
              <w:rPr>
                <w:lang w:val="en-IE"/>
              </w:rPr>
            </w:pPr>
            <w:r w:rsidRPr="0059550D">
              <w:rPr>
                <w:lang w:val="en-IE"/>
              </w:rPr>
              <w:t xml:space="preserve">- When do contracting authorities (not contracting entities) use the sectoral directive? </w:t>
            </w:r>
          </w:p>
          <w:p w14:paraId="7C6E72A9" w14:textId="0F7D5DC3" w:rsidR="00AB6DDE" w:rsidRPr="0059550D" w:rsidRDefault="00AB6DDE" w:rsidP="00E32992">
            <w:pPr>
              <w:rPr>
                <w:lang w:val="en-IE"/>
              </w:rPr>
            </w:pPr>
            <w:r w:rsidRPr="0059550D">
              <w:rPr>
                <w:lang w:val="en-IE"/>
              </w:rPr>
              <w:t xml:space="preserve">- When do contracting authorities (not contracting entities) use the </w:t>
            </w:r>
            <w:r w:rsidR="00E75315" w:rsidRPr="0059550D">
              <w:rPr>
                <w:lang w:val="en-IE"/>
              </w:rPr>
              <w:t>concessions</w:t>
            </w:r>
            <w:r w:rsidRPr="0059550D">
              <w:rPr>
                <w:lang w:val="en-IE"/>
              </w:rPr>
              <w:t xml:space="preserve"> directive?</w:t>
            </w:r>
          </w:p>
          <w:p w14:paraId="3431BAE7" w14:textId="1CABA421" w:rsidR="00AB6DDE" w:rsidRPr="0059550D" w:rsidRDefault="00AB6DDE" w:rsidP="00E32992">
            <w:pPr>
              <w:rPr>
                <w:lang w:val="en-IE"/>
              </w:rPr>
            </w:pPr>
            <w:r w:rsidRPr="0059550D">
              <w:rPr>
                <w:lang w:val="en-IE"/>
              </w:rPr>
              <w:t xml:space="preserve">- </w:t>
            </w:r>
            <w:r w:rsidR="00F66B45" w:rsidRPr="0059550D">
              <w:rPr>
                <w:lang w:val="en-IE"/>
              </w:rPr>
              <w:t xml:space="preserve">What procurement gets done by </w:t>
            </w:r>
            <w:r w:rsidRPr="0059550D">
              <w:rPr>
                <w:lang w:val="en-IE"/>
              </w:rPr>
              <w:t>public undertakings</w:t>
            </w:r>
            <w:r w:rsidR="00F66B45" w:rsidRPr="0059550D">
              <w:rPr>
                <w:lang w:val="en-IE"/>
              </w:rPr>
              <w:t>?</w:t>
            </w:r>
            <w:r w:rsidRPr="0059550D">
              <w:rPr>
                <w:lang w:val="en-IE"/>
              </w:rPr>
              <w:t xml:space="preserve"> </w:t>
            </w:r>
          </w:p>
          <w:p w14:paraId="35529A08" w14:textId="146300F9" w:rsidR="00F66B45" w:rsidRPr="0059550D" w:rsidRDefault="00F66B45" w:rsidP="00E32992">
            <w:pPr>
              <w:rPr>
                <w:lang w:val="en-IE"/>
              </w:rPr>
            </w:pPr>
            <w:r w:rsidRPr="0059550D">
              <w:rPr>
                <w:lang w:val="en-IE"/>
              </w:rPr>
              <w:t>- What procurement gets done by entities with special or exclusive rights?</w:t>
            </w:r>
          </w:p>
          <w:p w14:paraId="72DBECFB" w14:textId="77777777" w:rsidR="00AB6DDE" w:rsidRPr="0059550D" w:rsidRDefault="00AB6DDE" w:rsidP="00E32992">
            <w:pPr>
              <w:rPr>
                <w:lang w:val="en-IE"/>
              </w:rPr>
            </w:pPr>
          </w:p>
          <w:p w14:paraId="2C8C6E58" w14:textId="6AF8E57C" w:rsidR="00AB6DDE" w:rsidRPr="0059550D" w:rsidRDefault="00AB6DDE" w:rsidP="00E32992">
            <w:pPr>
              <w:rPr>
                <w:szCs w:val="24"/>
                <w:lang w:val="en-IE"/>
              </w:rPr>
            </w:pPr>
            <w:r w:rsidRPr="0059550D">
              <w:rPr>
                <w:b/>
                <w:lang w:val="en-IE"/>
              </w:rPr>
              <w:t>Reasons for Optional</w:t>
            </w:r>
            <w:r w:rsidR="007C78AE" w:rsidRPr="0059550D">
              <w:rPr>
                <w:b/>
                <w:lang w:val="en-IE"/>
              </w:rPr>
              <w:t xml:space="preserve"> or Unused</w:t>
            </w:r>
          </w:p>
          <w:p w14:paraId="6AC7B5CB" w14:textId="65C82EFB" w:rsidR="00AB6DDE" w:rsidRPr="0059550D" w:rsidRDefault="00AB6DDE" w:rsidP="00FD55C5">
            <w:pPr>
              <w:rPr>
                <w:szCs w:val="24"/>
                <w:lang w:val="en-IE"/>
              </w:rPr>
            </w:pPr>
            <w:r w:rsidRPr="0059550D">
              <w:rPr>
                <w:szCs w:val="24"/>
                <w:lang w:val="en-IE"/>
              </w:rPr>
              <w:t xml:space="preserve">The additional field </w:t>
            </w:r>
            <w:r w:rsidR="003C08C3">
              <w:rPr>
                <w:szCs w:val="24"/>
                <w:lang w:val="en-IE"/>
              </w:rPr>
              <w:t>requires</w:t>
            </w:r>
            <w:r w:rsidRPr="0059550D">
              <w:rPr>
                <w:szCs w:val="24"/>
                <w:lang w:val="en-IE"/>
              </w:rPr>
              <w:t xml:space="preserve"> minimal</w:t>
            </w:r>
            <w:r w:rsidR="00551918">
              <w:rPr>
                <w:szCs w:val="24"/>
                <w:lang w:val="en-IE"/>
              </w:rPr>
              <w:t xml:space="preserve"> </w:t>
            </w:r>
            <w:r w:rsidR="003C08C3">
              <w:rPr>
                <w:szCs w:val="24"/>
                <w:lang w:val="en-IE"/>
              </w:rPr>
              <w:t>effort f</w:t>
            </w:r>
            <w:r w:rsidR="00551918">
              <w:rPr>
                <w:szCs w:val="24"/>
                <w:lang w:val="en-IE"/>
              </w:rPr>
              <w:t>or</w:t>
            </w:r>
            <w:r w:rsidR="003C08C3">
              <w:rPr>
                <w:szCs w:val="24"/>
                <w:lang w:val="en-IE"/>
              </w:rPr>
              <w:t xml:space="preserve"> the buyer </w:t>
            </w:r>
          </w:p>
        </w:tc>
      </w:tr>
      <w:tr w:rsidR="00AB6DDE" w:rsidRPr="0059550D" w14:paraId="01AC9769" w14:textId="77777777" w:rsidTr="008D6040">
        <w:tc>
          <w:tcPr>
            <w:tcW w:w="263" w:type="pct"/>
            <w:shd w:val="clear" w:color="auto" w:fill="8DB3E2" w:themeFill="text2" w:themeFillTint="66"/>
            <w:vAlign w:val="center"/>
          </w:tcPr>
          <w:p w14:paraId="77EB6889" w14:textId="7BF335D9" w:rsidR="00AB6DDE" w:rsidRPr="0059550D" w:rsidRDefault="00832D5D" w:rsidP="00AB6DDE">
            <w:pPr>
              <w:jc w:val="center"/>
              <w:rPr>
                <w:i/>
                <w:szCs w:val="24"/>
                <w:lang w:val="en-IE"/>
              </w:rPr>
            </w:pPr>
            <w:r>
              <w:rPr>
                <w:i/>
                <w:szCs w:val="24"/>
                <w:lang w:val="en-IE"/>
              </w:rPr>
              <w:t>8</w:t>
            </w:r>
          </w:p>
        </w:tc>
        <w:tc>
          <w:tcPr>
            <w:tcW w:w="823" w:type="pct"/>
            <w:shd w:val="clear" w:color="auto" w:fill="8DB3E2" w:themeFill="text2" w:themeFillTint="66"/>
            <w:vAlign w:val="center"/>
          </w:tcPr>
          <w:p w14:paraId="419D5437" w14:textId="16E69E56" w:rsidR="00AB6DDE" w:rsidRPr="0059550D" w:rsidRDefault="00AB6DDE" w:rsidP="00952D33">
            <w:pPr>
              <w:rPr>
                <w:i/>
                <w:szCs w:val="24"/>
                <w:lang w:val="en-IE"/>
              </w:rPr>
            </w:pPr>
            <w:r w:rsidRPr="0059550D">
              <w:rPr>
                <w:i/>
                <w:szCs w:val="24"/>
                <w:lang w:val="en-IE"/>
              </w:rPr>
              <w:t xml:space="preserve">Winner Owner Nationality </w:t>
            </w:r>
            <w:r w:rsidR="0092591A" w:rsidRPr="0059550D">
              <w:rPr>
                <w:i/>
                <w:szCs w:val="24"/>
                <w:lang w:val="en-IE"/>
              </w:rPr>
              <w:br/>
            </w:r>
            <w:r w:rsidRPr="0059550D">
              <w:rPr>
                <w:i/>
                <w:szCs w:val="24"/>
                <w:lang w:val="en-IE"/>
              </w:rPr>
              <w:t xml:space="preserve">(BT-706) </w:t>
            </w:r>
          </w:p>
          <w:p w14:paraId="4BB48CD5" w14:textId="77777777" w:rsidR="00AB6DDE" w:rsidRPr="0059550D" w:rsidRDefault="00AB6DDE" w:rsidP="00952D33">
            <w:pPr>
              <w:rPr>
                <w:i/>
                <w:szCs w:val="24"/>
                <w:lang w:val="en-IE"/>
              </w:rPr>
            </w:pPr>
          </w:p>
          <w:p w14:paraId="688BB2D3" w14:textId="77777777" w:rsidR="00AB6DDE" w:rsidRPr="0059550D" w:rsidRDefault="00AB6DDE" w:rsidP="00952D33">
            <w:pPr>
              <w:rPr>
                <w:i/>
                <w:szCs w:val="24"/>
                <w:lang w:val="en-IE"/>
              </w:rPr>
            </w:pPr>
            <w:r w:rsidRPr="0059550D">
              <w:rPr>
                <w:i/>
                <w:szCs w:val="24"/>
                <w:lang w:val="en-IE"/>
              </w:rPr>
              <w:t>&amp;</w:t>
            </w:r>
          </w:p>
          <w:p w14:paraId="525834A0" w14:textId="77777777" w:rsidR="00AB6DDE" w:rsidRPr="0059550D" w:rsidRDefault="00AB6DDE" w:rsidP="00952D33">
            <w:pPr>
              <w:rPr>
                <w:i/>
                <w:szCs w:val="24"/>
                <w:lang w:val="en-IE"/>
              </w:rPr>
            </w:pPr>
          </w:p>
          <w:p w14:paraId="58BB64B6" w14:textId="2D7AD539" w:rsidR="00AB6DDE" w:rsidRPr="0059550D" w:rsidRDefault="00AB6DDE" w:rsidP="00952D33">
            <w:pPr>
              <w:rPr>
                <w:lang w:val="en-IE"/>
              </w:rPr>
            </w:pPr>
            <w:r w:rsidRPr="0059550D">
              <w:rPr>
                <w:i/>
                <w:szCs w:val="24"/>
                <w:lang w:val="en-IE"/>
              </w:rPr>
              <w:t xml:space="preserve">Winner Listed </w:t>
            </w:r>
            <w:r w:rsidR="0092591A" w:rsidRPr="0059550D">
              <w:rPr>
                <w:i/>
                <w:szCs w:val="24"/>
                <w:lang w:val="en-IE"/>
              </w:rPr>
              <w:br/>
            </w:r>
            <w:r w:rsidRPr="0059550D">
              <w:rPr>
                <w:i/>
                <w:szCs w:val="24"/>
                <w:lang w:val="en-IE"/>
              </w:rPr>
              <w:t>(BT-746)</w:t>
            </w:r>
          </w:p>
        </w:tc>
        <w:tc>
          <w:tcPr>
            <w:tcW w:w="892" w:type="pct"/>
            <w:shd w:val="clear" w:color="auto" w:fill="8DB3E2" w:themeFill="text2" w:themeFillTint="66"/>
            <w:vAlign w:val="center"/>
          </w:tcPr>
          <w:p w14:paraId="7F10C157" w14:textId="77777777" w:rsidR="00AB6DDE" w:rsidRPr="00EB186D" w:rsidRDefault="00AB6DDE" w:rsidP="00952D33">
            <w:pPr>
              <w:rPr>
                <w:i/>
                <w:lang w:val="en-IE"/>
              </w:rPr>
            </w:pPr>
            <w:r w:rsidRPr="00EB186D">
              <w:rPr>
                <w:i/>
                <w:lang w:val="en-IE"/>
              </w:rPr>
              <w:lastRenderedPageBreak/>
              <w:t xml:space="preserve">“The nationality (or nationalities) of the beneficiary owner(s) of </w:t>
            </w:r>
            <w:r w:rsidRPr="00EB186D">
              <w:rPr>
                <w:i/>
                <w:lang w:val="en-IE"/>
              </w:rPr>
              <w:lastRenderedPageBreak/>
              <w:t>the winner, tenderer, or subcontractor; as published in the register(s) established by anti-money laundering legislation. If such a register does not exist (e.g. in case of non-EU contractors) then equivalent information from other sources.”</w:t>
            </w:r>
          </w:p>
          <w:p w14:paraId="40D62921" w14:textId="77777777" w:rsidR="00AB6DDE" w:rsidRPr="0059550D" w:rsidRDefault="00AB6DDE" w:rsidP="00952D33">
            <w:pPr>
              <w:rPr>
                <w:lang w:val="en-IE"/>
              </w:rPr>
            </w:pPr>
          </w:p>
          <w:p w14:paraId="72F4C102" w14:textId="77777777" w:rsidR="00AB6DDE" w:rsidRPr="0059550D" w:rsidRDefault="00AB6DDE" w:rsidP="00952D33">
            <w:pPr>
              <w:rPr>
                <w:lang w:val="en-IE"/>
              </w:rPr>
            </w:pPr>
            <w:r w:rsidRPr="0059550D">
              <w:rPr>
                <w:lang w:val="en-IE"/>
              </w:rPr>
              <w:t xml:space="preserve">+ </w:t>
            </w:r>
            <w:r w:rsidRPr="0059550D">
              <w:rPr>
                <w:lang w:val="en-IE"/>
              </w:rPr>
              <w:br/>
            </w:r>
            <w:r w:rsidRPr="0059550D">
              <w:rPr>
                <w:lang w:val="en-IE"/>
              </w:rPr>
              <w:br/>
              <w:t xml:space="preserve">The nationality [shortened] is not published in the register [shortened], because the winner is listed on a regulated market (e.g. a stock exchange) [shortened]. </w:t>
            </w:r>
          </w:p>
          <w:p w14:paraId="329D6AC1" w14:textId="77777777" w:rsidR="00AB6DDE" w:rsidRPr="0059550D" w:rsidRDefault="00AB6DDE" w:rsidP="00952D33">
            <w:pPr>
              <w:rPr>
                <w:lang w:val="en-IE"/>
              </w:rPr>
            </w:pPr>
          </w:p>
          <w:p w14:paraId="28138DE2" w14:textId="5C153FDC" w:rsidR="00AB6DDE" w:rsidRPr="0059550D" w:rsidRDefault="00AB6DDE" w:rsidP="00952D33">
            <w:pPr>
              <w:rPr>
                <w:lang w:val="en-IE"/>
              </w:rPr>
            </w:pPr>
            <w:r w:rsidRPr="0059550D">
              <w:rPr>
                <w:lang w:val="en-IE"/>
              </w:rPr>
              <w:tab/>
            </w:r>
          </w:p>
        </w:tc>
        <w:tc>
          <w:tcPr>
            <w:tcW w:w="3022" w:type="pct"/>
          </w:tcPr>
          <w:p w14:paraId="3BD1171B" w14:textId="77777777" w:rsidR="00AB6DDE" w:rsidRPr="0059550D" w:rsidRDefault="00AB6DDE" w:rsidP="00264C8F">
            <w:pPr>
              <w:rPr>
                <w:szCs w:val="24"/>
                <w:lang w:val="en-IE"/>
              </w:rPr>
            </w:pPr>
            <w:r w:rsidRPr="0059550D">
              <w:rPr>
                <w:b/>
                <w:lang w:val="en-IE"/>
              </w:rPr>
              <w:lastRenderedPageBreak/>
              <w:t>Reasons for Mandatory</w:t>
            </w:r>
          </w:p>
          <w:p w14:paraId="5F703A0D" w14:textId="4EDDD465" w:rsidR="00AB6DDE" w:rsidRPr="0059550D" w:rsidRDefault="00AB6DDE" w:rsidP="00264C8F">
            <w:pPr>
              <w:rPr>
                <w:lang w:val="en-IE"/>
              </w:rPr>
            </w:pPr>
            <w:r w:rsidRPr="0059550D">
              <w:rPr>
                <w:lang w:val="en-IE"/>
              </w:rPr>
              <w:t xml:space="preserve">Gives policy information on who owns the </w:t>
            </w:r>
            <w:r w:rsidR="00706C6A">
              <w:rPr>
                <w:lang w:val="en-IE"/>
              </w:rPr>
              <w:t>winner</w:t>
            </w:r>
            <w:r w:rsidRPr="0059550D">
              <w:rPr>
                <w:lang w:val="en-IE"/>
              </w:rPr>
              <w:t xml:space="preserve">, i.e. who the public sector is really paying. </w:t>
            </w:r>
          </w:p>
          <w:p w14:paraId="6F6FFD5B" w14:textId="77777777" w:rsidR="00AB6DDE" w:rsidRPr="0059550D" w:rsidRDefault="00AB6DDE" w:rsidP="00264C8F">
            <w:pPr>
              <w:rPr>
                <w:lang w:val="en-IE"/>
              </w:rPr>
            </w:pPr>
          </w:p>
          <w:p w14:paraId="365776D5" w14:textId="77777777" w:rsidR="00AB6DDE" w:rsidRPr="0059550D" w:rsidRDefault="00AB6DDE" w:rsidP="00264C8F">
            <w:pPr>
              <w:rPr>
                <w:lang w:val="en-IE"/>
              </w:rPr>
            </w:pPr>
            <w:r w:rsidRPr="0059550D">
              <w:rPr>
                <w:lang w:val="en-IE"/>
              </w:rPr>
              <w:lastRenderedPageBreak/>
              <w:t>Required to answer questions such as:</w:t>
            </w:r>
          </w:p>
          <w:p w14:paraId="54769D13" w14:textId="77777777" w:rsidR="00AB6DDE" w:rsidRPr="0059550D" w:rsidRDefault="00AB6DDE" w:rsidP="00DC6C47">
            <w:pPr>
              <w:pStyle w:val="ListParagraph"/>
              <w:numPr>
                <w:ilvl w:val="0"/>
                <w:numId w:val="9"/>
              </w:numPr>
              <w:spacing w:line="276" w:lineRule="auto"/>
              <w:contextualSpacing w:val="0"/>
              <w:rPr>
                <w:rFonts w:cstheme="minorHAnsi"/>
                <w:lang w:val="en-IE"/>
              </w:rPr>
            </w:pPr>
            <w:r w:rsidRPr="0059550D">
              <w:rPr>
                <w:rFonts w:cstheme="minorHAnsi"/>
                <w:lang w:val="en-IE"/>
              </w:rPr>
              <w:t>Do profits from awarded contracts ultimately go to national citizens, or foreign citizens? This question is important, for example, when evaluating the benefits of the EU Single Market.</w:t>
            </w:r>
          </w:p>
          <w:p w14:paraId="6574B79E" w14:textId="77777777" w:rsidR="00AB6DDE" w:rsidRPr="0059550D" w:rsidRDefault="00AB6DDE" w:rsidP="00DC6C47">
            <w:pPr>
              <w:pStyle w:val="ListParagraph"/>
              <w:numPr>
                <w:ilvl w:val="0"/>
                <w:numId w:val="9"/>
              </w:numPr>
              <w:spacing w:line="276" w:lineRule="auto"/>
              <w:contextualSpacing w:val="0"/>
              <w:rPr>
                <w:rFonts w:cstheme="minorHAnsi"/>
                <w:lang w:val="en-IE"/>
              </w:rPr>
            </w:pPr>
            <w:r w:rsidRPr="0059550D">
              <w:rPr>
                <w:rFonts w:cstheme="minorHAnsi"/>
                <w:lang w:val="en-IE"/>
              </w:rPr>
              <w:t>Do profits from awarded contracts ultimately go to EU national, or non-EU nationals? This question is important, for example, when evaluating the benefits of trade agreements with non-EU countries.</w:t>
            </w:r>
          </w:p>
          <w:p w14:paraId="44B87B11" w14:textId="4E6CA963" w:rsidR="00AB6DDE" w:rsidRPr="00EF56B0" w:rsidRDefault="00AB6DDE" w:rsidP="00264C8F">
            <w:pPr>
              <w:pStyle w:val="ListParagraph"/>
              <w:numPr>
                <w:ilvl w:val="0"/>
                <w:numId w:val="9"/>
              </w:numPr>
              <w:spacing w:line="276" w:lineRule="auto"/>
              <w:contextualSpacing w:val="0"/>
              <w:rPr>
                <w:rFonts w:cstheme="minorHAnsi"/>
                <w:lang w:val="en-IE"/>
              </w:rPr>
            </w:pPr>
            <w:r w:rsidRPr="0059550D">
              <w:rPr>
                <w:rFonts w:cstheme="minorHAnsi"/>
                <w:lang w:val="en-IE"/>
              </w:rPr>
              <w:t xml:space="preserve">To what extent are awarded contracts posing a national security (or cybersecurity) risk, e.g. by creating a dependency on third country owned suppliers of IT infrastructure or money flowing to suppliers potentially covered by economic sanctions. </w:t>
            </w:r>
          </w:p>
          <w:p w14:paraId="4BBF5290" w14:textId="77777777" w:rsidR="00C37B2D" w:rsidRDefault="00C37B2D" w:rsidP="00264C8F">
            <w:pPr>
              <w:rPr>
                <w:b/>
                <w:lang w:val="en-IE"/>
              </w:rPr>
            </w:pPr>
          </w:p>
          <w:p w14:paraId="74561B28" w14:textId="77777777" w:rsidR="00AB6DDE" w:rsidRPr="0059550D" w:rsidRDefault="00AB6DDE" w:rsidP="00264C8F">
            <w:pPr>
              <w:rPr>
                <w:rFonts w:cstheme="minorHAnsi"/>
                <w:lang w:val="en-IE"/>
              </w:rPr>
            </w:pPr>
            <w:r w:rsidRPr="0059550D">
              <w:rPr>
                <w:b/>
                <w:lang w:val="en-IE"/>
              </w:rPr>
              <w:t>Reasons for Optional</w:t>
            </w:r>
          </w:p>
          <w:p w14:paraId="265CC186" w14:textId="77777777" w:rsidR="00AB6DDE" w:rsidRPr="0059550D" w:rsidRDefault="00AB6DDE" w:rsidP="00264C8F">
            <w:pPr>
              <w:rPr>
                <w:rFonts w:cstheme="minorHAnsi"/>
                <w:lang w:val="en-IE"/>
              </w:rPr>
            </w:pPr>
            <w:r w:rsidRPr="0059550D">
              <w:rPr>
                <w:rFonts w:cstheme="minorHAnsi"/>
                <w:lang w:val="en-IE"/>
              </w:rPr>
              <w:t>None.</w:t>
            </w:r>
          </w:p>
          <w:p w14:paraId="4F78EC0C" w14:textId="77777777" w:rsidR="00AB6DDE" w:rsidRPr="0059550D" w:rsidRDefault="00AB6DDE" w:rsidP="00264C8F">
            <w:pPr>
              <w:rPr>
                <w:rFonts w:cstheme="minorHAnsi"/>
                <w:lang w:val="en-IE"/>
              </w:rPr>
            </w:pPr>
          </w:p>
          <w:p w14:paraId="6D04754D" w14:textId="77777777" w:rsidR="00AB6DDE" w:rsidRPr="0059550D" w:rsidRDefault="00AB6DDE" w:rsidP="00264C8F">
            <w:pPr>
              <w:rPr>
                <w:rFonts w:cstheme="minorHAnsi"/>
                <w:lang w:val="en-IE"/>
              </w:rPr>
            </w:pPr>
            <w:r w:rsidRPr="0059550D">
              <w:rPr>
                <w:b/>
                <w:lang w:val="en-IE"/>
              </w:rPr>
              <w:t>Reasons for Unused</w:t>
            </w:r>
          </w:p>
          <w:p w14:paraId="5F150F38" w14:textId="77777777" w:rsidR="00AB6DDE" w:rsidRPr="0059550D" w:rsidRDefault="00AB6DDE" w:rsidP="00264C8F">
            <w:pPr>
              <w:rPr>
                <w:rFonts w:cstheme="minorHAnsi"/>
                <w:lang w:val="en-IE"/>
              </w:rPr>
            </w:pPr>
            <w:r w:rsidRPr="0059550D">
              <w:rPr>
                <w:rFonts w:cstheme="minorHAnsi"/>
                <w:lang w:val="en-IE"/>
              </w:rPr>
              <w:t>The definitions correspond to the data that should be freely publicly available, by 2020, under the latest Anti-Money Laundering Directive</w:t>
            </w:r>
            <w:r w:rsidRPr="0059550D">
              <w:rPr>
                <w:rStyle w:val="FootnoteReference"/>
                <w:rFonts w:cstheme="minorHAnsi"/>
                <w:lang w:val="en-IE"/>
              </w:rPr>
              <w:footnoteReference w:id="83"/>
            </w:r>
            <w:r w:rsidRPr="0059550D">
              <w:rPr>
                <w:rFonts w:cstheme="minorHAnsi"/>
                <w:lang w:val="en-IE"/>
              </w:rPr>
              <w:t xml:space="preserve">. Consequently, it should be possible to prefill it automatically and the cost of using it should be small. </w:t>
            </w:r>
          </w:p>
          <w:p w14:paraId="45F5C81C" w14:textId="77777777" w:rsidR="00AB6DDE" w:rsidRPr="0059550D" w:rsidRDefault="00AB6DDE" w:rsidP="00264C8F">
            <w:pPr>
              <w:rPr>
                <w:rFonts w:cstheme="minorHAnsi"/>
                <w:lang w:val="en-IE"/>
              </w:rPr>
            </w:pPr>
          </w:p>
          <w:p w14:paraId="14C7F052" w14:textId="3660D84E" w:rsidR="00AB6DDE" w:rsidRPr="0059550D" w:rsidRDefault="00AB6DDE" w:rsidP="00264C8F">
            <w:pPr>
              <w:spacing w:line="276" w:lineRule="auto"/>
              <w:rPr>
                <w:rFonts w:cstheme="minorHAnsi"/>
                <w:lang w:val="en-IE"/>
              </w:rPr>
            </w:pPr>
            <w:r w:rsidRPr="0059550D">
              <w:rPr>
                <w:rFonts w:cstheme="minorHAnsi"/>
                <w:lang w:val="en-IE"/>
              </w:rPr>
              <w:t xml:space="preserve">If the data is not available from the above-mentioned register, then the data should </w:t>
            </w:r>
            <w:r w:rsidR="0064180A" w:rsidRPr="0059550D">
              <w:rPr>
                <w:rFonts w:cstheme="minorHAnsi"/>
                <w:lang w:val="en-IE"/>
              </w:rPr>
              <w:t xml:space="preserve">probably </w:t>
            </w:r>
            <w:r w:rsidRPr="0059550D">
              <w:rPr>
                <w:rFonts w:cstheme="minorHAnsi"/>
                <w:lang w:val="en-IE"/>
              </w:rPr>
              <w:t>not be requested (unless it is collected from another a</w:t>
            </w:r>
            <w:r w:rsidR="005860A4" w:rsidRPr="0059550D">
              <w:rPr>
                <w:rFonts w:cstheme="minorHAnsi"/>
                <w:lang w:val="en-IE"/>
              </w:rPr>
              <w:t>utomated source, e.g. the ESPD), as the administrative burden would be too large.</w:t>
            </w:r>
          </w:p>
          <w:p w14:paraId="1136E2EF" w14:textId="67189D8B" w:rsidR="00AB6DDE" w:rsidRPr="0059550D" w:rsidRDefault="00AB6DDE" w:rsidP="00264C8F">
            <w:pPr>
              <w:rPr>
                <w:b/>
                <w:lang w:val="en-IE"/>
              </w:rPr>
            </w:pPr>
          </w:p>
        </w:tc>
      </w:tr>
      <w:tr w:rsidR="00AB6DDE" w:rsidRPr="0059550D" w14:paraId="61115552" w14:textId="00744C84" w:rsidTr="008D6040">
        <w:tc>
          <w:tcPr>
            <w:tcW w:w="263" w:type="pct"/>
            <w:shd w:val="clear" w:color="auto" w:fill="8DB3E2" w:themeFill="text2" w:themeFillTint="66"/>
            <w:vAlign w:val="center"/>
          </w:tcPr>
          <w:p w14:paraId="78AE4747" w14:textId="3C65B9AC" w:rsidR="00AB6DDE" w:rsidRPr="0059550D" w:rsidRDefault="00832D5D" w:rsidP="00AB6DDE">
            <w:pPr>
              <w:jc w:val="center"/>
              <w:rPr>
                <w:i/>
                <w:szCs w:val="24"/>
                <w:lang w:val="en-IE"/>
              </w:rPr>
            </w:pPr>
            <w:r>
              <w:rPr>
                <w:i/>
                <w:szCs w:val="24"/>
                <w:lang w:val="en-IE"/>
              </w:rPr>
              <w:lastRenderedPageBreak/>
              <w:t>9</w:t>
            </w:r>
          </w:p>
        </w:tc>
        <w:tc>
          <w:tcPr>
            <w:tcW w:w="823" w:type="pct"/>
            <w:shd w:val="clear" w:color="auto" w:fill="8DB3E2" w:themeFill="text2" w:themeFillTint="66"/>
            <w:vAlign w:val="center"/>
          </w:tcPr>
          <w:p w14:paraId="3C2067F9" w14:textId="3533DC99" w:rsidR="00AB6DDE" w:rsidRPr="0059550D" w:rsidRDefault="00AB6DDE" w:rsidP="00952D33">
            <w:pPr>
              <w:rPr>
                <w:i/>
                <w:szCs w:val="24"/>
                <w:lang w:val="en-IE"/>
              </w:rPr>
            </w:pPr>
            <w:r w:rsidRPr="0059550D">
              <w:rPr>
                <w:i/>
                <w:szCs w:val="24"/>
                <w:lang w:val="en-IE"/>
              </w:rPr>
              <w:t xml:space="preserve">Estimated Value </w:t>
            </w:r>
            <w:r w:rsidR="0092591A" w:rsidRPr="0059550D">
              <w:rPr>
                <w:i/>
                <w:szCs w:val="24"/>
                <w:lang w:val="en-IE"/>
              </w:rPr>
              <w:br/>
            </w:r>
            <w:r w:rsidRPr="0059550D">
              <w:rPr>
                <w:i/>
                <w:szCs w:val="24"/>
                <w:lang w:val="en-IE"/>
              </w:rPr>
              <w:lastRenderedPageBreak/>
              <w:t xml:space="preserve">(BT-27) </w:t>
            </w:r>
          </w:p>
        </w:tc>
        <w:tc>
          <w:tcPr>
            <w:tcW w:w="892" w:type="pct"/>
            <w:shd w:val="clear" w:color="auto" w:fill="8DB3E2" w:themeFill="text2" w:themeFillTint="66"/>
            <w:vAlign w:val="center"/>
          </w:tcPr>
          <w:p w14:paraId="42419599" w14:textId="24DFE131" w:rsidR="00AB6DDE" w:rsidRPr="00EB186D" w:rsidRDefault="00AB6DDE" w:rsidP="00952D33">
            <w:pPr>
              <w:rPr>
                <w:i/>
                <w:lang w:val="en-IE"/>
              </w:rPr>
            </w:pPr>
            <w:r w:rsidRPr="00EB186D">
              <w:rPr>
                <w:i/>
                <w:lang w:val="en-IE"/>
              </w:rPr>
              <w:lastRenderedPageBreak/>
              <w:t xml:space="preserve">“The estimated </w:t>
            </w:r>
            <w:r w:rsidRPr="00EB186D">
              <w:rPr>
                <w:i/>
                <w:lang w:val="en-IE"/>
              </w:rPr>
              <w:lastRenderedPageBreak/>
              <w:t>maximum value of the procurement procedure or lot. Estimated refers to estimation at the time of launching the call for competition. Maximum value means a value covering all contracts to be awarded within a framework agreement or a dynamic purchasing system, over their whole duration, including options and renewals.”</w:t>
            </w:r>
          </w:p>
        </w:tc>
        <w:tc>
          <w:tcPr>
            <w:tcW w:w="3022" w:type="pct"/>
          </w:tcPr>
          <w:p w14:paraId="6B99192C" w14:textId="1A21C006" w:rsidR="00AB6DDE" w:rsidRPr="0059550D" w:rsidRDefault="00AB6DDE" w:rsidP="00264C8F">
            <w:pPr>
              <w:rPr>
                <w:lang w:val="en-IE"/>
              </w:rPr>
            </w:pPr>
            <w:r w:rsidRPr="0059550D">
              <w:rPr>
                <w:lang w:val="en-IE"/>
              </w:rPr>
              <w:lastRenderedPageBreak/>
              <w:t xml:space="preserve">The approach to publishing estimated values differs very widely across the EU. There is no </w:t>
            </w:r>
            <w:r w:rsidRPr="0059550D">
              <w:rPr>
                <w:lang w:val="en-IE"/>
              </w:rPr>
              <w:lastRenderedPageBreak/>
              <w:t xml:space="preserve">empirical evidence on which approach leads to better value for money. It is important to distinguish two decisions: mandatory vs. optional, published vs. unpublished. </w:t>
            </w:r>
          </w:p>
          <w:p w14:paraId="7862C072" w14:textId="562AE433" w:rsidR="00AB6DDE" w:rsidRPr="0059550D" w:rsidRDefault="00AB6DDE" w:rsidP="00264C8F">
            <w:pPr>
              <w:rPr>
                <w:lang w:val="en-IE"/>
              </w:rPr>
            </w:pPr>
          </w:p>
          <w:p w14:paraId="46815FC8" w14:textId="55F8EBC3" w:rsidR="00AB6DDE" w:rsidRPr="0059550D" w:rsidRDefault="00AB6DDE" w:rsidP="00264C8F">
            <w:pPr>
              <w:rPr>
                <w:b/>
                <w:lang w:val="en-IE"/>
              </w:rPr>
            </w:pPr>
            <w:r w:rsidRPr="0059550D">
              <w:rPr>
                <w:b/>
                <w:lang w:val="en-IE"/>
              </w:rPr>
              <w:t>Reasons for Mandatory</w:t>
            </w:r>
          </w:p>
          <w:p w14:paraId="260C9C3C" w14:textId="5ACF6630" w:rsidR="00AB6DDE" w:rsidRPr="0059550D" w:rsidRDefault="00AB6DDE" w:rsidP="00264C8F">
            <w:pPr>
              <w:rPr>
                <w:lang w:val="en-IE"/>
              </w:rPr>
            </w:pPr>
            <w:r w:rsidRPr="0059550D">
              <w:rPr>
                <w:lang w:val="en-IE"/>
              </w:rPr>
              <w:t>Having buyers mandatorily submit estimated value has significant policy value for managing national procurement systems. In particular, it allows answering questions such as “How close are price estimates from actual prices?”, “Do consistent and repetitive large differences between the two indicate insufficient market knowledge?”</w:t>
            </w:r>
          </w:p>
          <w:p w14:paraId="582A91F5" w14:textId="7B40F8CB" w:rsidR="00AB6DDE" w:rsidRPr="0059550D" w:rsidRDefault="00AB6DDE" w:rsidP="00264C8F">
            <w:pPr>
              <w:rPr>
                <w:b/>
                <w:lang w:val="en-IE"/>
              </w:rPr>
            </w:pPr>
          </w:p>
          <w:p w14:paraId="0695787D" w14:textId="442F3AE0" w:rsidR="00AB6DDE" w:rsidRPr="0059550D" w:rsidRDefault="00AB6DDE" w:rsidP="00264C8F">
            <w:pPr>
              <w:rPr>
                <w:b/>
                <w:lang w:val="en-IE"/>
              </w:rPr>
            </w:pPr>
            <w:r w:rsidRPr="0059550D">
              <w:rPr>
                <w:b/>
                <w:lang w:val="en-IE"/>
              </w:rPr>
              <w:t>Reasons for Optional or Unused</w:t>
            </w:r>
          </w:p>
          <w:p w14:paraId="62F287ED" w14:textId="4D819AD1" w:rsidR="00AB6DDE" w:rsidRPr="0059550D" w:rsidRDefault="00AB6DDE" w:rsidP="00264C8F">
            <w:pPr>
              <w:rPr>
                <w:lang w:val="en-IE"/>
              </w:rPr>
            </w:pPr>
            <w:r w:rsidRPr="0059550D">
              <w:rPr>
                <w:lang w:val="en-IE"/>
              </w:rPr>
              <w:t xml:space="preserve">None – the value is estimated in every procurement procedure, the question concerns its publication. </w:t>
            </w:r>
          </w:p>
          <w:p w14:paraId="7F22A5A1" w14:textId="77777777" w:rsidR="00AB6DDE" w:rsidRPr="0059550D" w:rsidRDefault="00AB6DDE" w:rsidP="00264C8F">
            <w:pPr>
              <w:rPr>
                <w:b/>
                <w:lang w:val="en-IE"/>
              </w:rPr>
            </w:pPr>
          </w:p>
          <w:p w14:paraId="0462799C" w14:textId="35137420" w:rsidR="00AB6DDE" w:rsidRPr="0059550D" w:rsidRDefault="00AB6DDE" w:rsidP="00264C8F">
            <w:pPr>
              <w:rPr>
                <w:b/>
                <w:lang w:val="en-IE"/>
              </w:rPr>
            </w:pPr>
            <w:r w:rsidRPr="0059550D">
              <w:rPr>
                <w:b/>
                <w:lang w:val="en-IE"/>
              </w:rPr>
              <w:t>Reasons for Always Published</w:t>
            </w:r>
          </w:p>
          <w:p w14:paraId="76160F2A" w14:textId="2CA1A689" w:rsidR="00AB6DDE" w:rsidRPr="0059550D" w:rsidRDefault="00AB6DDE" w:rsidP="00264C8F">
            <w:pPr>
              <w:rPr>
                <w:lang w:val="en-IE"/>
              </w:rPr>
            </w:pPr>
            <w:r w:rsidRPr="0059550D">
              <w:rPr>
                <w:lang w:val="en-IE"/>
              </w:rPr>
              <w:t xml:space="preserve">In some EU countries, the estimated value is mandatory or considered a good practice. It is taken as a part of the description of what is required from the market and it is assumed that it will lead to more informed bids, including to ensure that they are realistic from the buyer’s budget point of view. </w:t>
            </w:r>
          </w:p>
          <w:p w14:paraId="26F10196" w14:textId="2ED3C8E6" w:rsidR="00AB6DDE" w:rsidRPr="0059550D" w:rsidRDefault="00AB6DDE" w:rsidP="00264C8F">
            <w:pPr>
              <w:rPr>
                <w:lang w:val="en-IE"/>
              </w:rPr>
            </w:pPr>
          </w:p>
          <w:p w14:paraId="39466B11" w14:textId="10FEECF0" w:rsidR="00AB6DDE" w:rsidRPr="0059550D" w:rsidRDefault="00AB6DDE" w:rsidP="00264C8F">
            <w:pPr>
              <w:rPr>
                <w:b/>
                <w:lang w:val="en-IE"/>
              </w:rPr>
            </w:pPr>
            <w:r w:rsidRPr="0059550D">
              <w:rPr>
                <w:b/>
                <w:lang w:val="en-IE"/>
              </w:rPr>
              <w:t>Reasons for Always Unpublished</w:t>
            </w:r>
          </w:p>
          <w:p w14:paraId="6914E13A" w14:textId="1EBD89AE" w:rsidR="00AB6DDE" w:rsidRPr="0059550D" w:rsidRDefault="00AB6DDE" w:rsidP="00264C8F">
            <w:pPr>
              <w:rPr>
                <w:szCs w:val="24"/>
                <w:lang w:val="en-IE"/>
              </w:rPr>
            </w:pPr>
            <w:r w:rsidRPr="0059550D">
              <w:rPr>
                <w:lang w:val="en-IE"/>
              </w:rPr>
              <w:t xml:space="preserve">In some EU countries, publishing the estimated value is discouraged and considered as a bad practice. It is assumed that indicating to companies the expected price will stop them from offering significantly lower prices and thus limit competition. </w:t>
            </w:r>
          </w:p>
        </w:tc>
      </w:tr>
      <w:tr w:rsidR="00B87832" w:rsidRPr="0059550D" w14:paraId="7ECAF092" w14:textId="77777777" w:rsidTr="008D6040">
        <w:tc>
          <w:tcPr>
            <w:tcW w:w="263" w:type="pct"/>
            <w:shd w:val="clear" w:color="auto" w:fill="8DB3E2" w:themeFill="text2" w:themeFillTint="66"/>
            <w:vAlign w:val="center"/>
          </w:tcPr>
          <w:p w14:paraId="6F118E6B" w14:textId="506A04C5" w:rsidR="00B87832" w:rsidRPr="0059550D" w:rsidRDefault="00832D5D" w:rsidP="00AB6DDE">
            <w:pPr>
              <w:jc w:val="center"/>
              <w:rPr>
                <w:i/>
                <w:szCs w:val="24"/>
                <w:lang w:val="en-IE"/>
              </w:rPr>
            </w:pPr>
            <w:r>
              <w:rPr>
                <w:i/>
                <w:szCs w:val="24"/>
                <w:lang w:val="en-IE"/>
              </w:rPr>
              <w:lastRenderedPageBreak/>
              <w:t>10</w:t>
            </w:r>
          </w:p>
        </w:tc>
        <w:tc>
          <w:tcPr>
            <w:tcW w:w="823" w:type="pct"/>
            <w:shd w:val="clear" w:color="auto" w:fill="8DB3E2" w:themeFill="text2" w:themeFillTint="66"/>
            <w:vAlign w:val="center"/>
          </w:tcPr>
          <w:p w14:paraId="0F9199C2" w14:textId="3DF1BE72" w:rsidR="00B87832" w:rsidRPr="0059550D" w:rsidRDefault="00B87832" w:rsidP="00952D33">
            <w:pPr>
              <w:rPr>
                <w:i/>
                <w:szCs w:val="24"/>
                <w:lang w:val="en-IE"/>
              </w:rPr>
            </w:pPr>
            <w:r w:rsidRPr="0059550D">
              <w:rPr>
                <w:i/>
                <w:szCs w:val="24"/>
                <w:lang w:val="en-IE"/>
              </w:rPr>
              <w:t xml:space="preserve">Quantity </w:t>
            </w:r>
            <w:r w:rsidRPr="0059550D">
              <w:rPr>
                <w:i/>
                <w:szCs w:val="24"/>
                <w:lang w:val="en-IE"/>
              </w:rPr>
              <w:br/>
              <w:t>(BT-25)</w:t>
            </w:r>
            <w:r w:rsidRPr="0059550D">
              <w:rPr>
                <w:i/>
                <w:szCs w:val="24"/>
                <w:lang w:val="en-IE"/>
              </w:rPr>
              <w:br/>
            </w:r>
            <w:r w:rsidRPr="0059550D">
              <w:rPr>
                <w:i/>
                <w:szCs w:val="24"/>
                <w:lang w:val="en-IE"/>
              </w:rPr>
              <w:br/>
              <w:t>&amp;</w:t>
            </w:r>
            <w:r w:rsidRPr="0059550D">
              <w:rPr>
                <w:i/>
                <w:szCs w:val="24"/>
                <w:lang w:val="en-IE"/>
              </w:rPr>
              <w:br/>
            </w:r>
            <w:r w:rsidRPr="0059550D">
              <w:rPr>
                <w:i/>
                <w:szCs w:val="24"/>
                <w:lang w:val="en-IE"/>
              </w:rPr>
              <w:br/>
              <w:t>Unit</w:t>
            </w:r>
            <w:r w:rsidRPr="0059550D">
              <w:rPr>
                <w:i/>
                <w:szCs w:val="24"/>
                <w:lang w:val="en-IE"/>
              </w:rPr>
              <w:br/>
              <w:t>(BT-625)</w:t>
            </w:r>
          </w:p>
        </w:tc>
        <w:tc>
          <w:tcPr>
            <w:tcW w:w="892" w:type="pct"/>
            <w:shd w:val="clear" w:color="auto" w:fill="8DB3E2" w:themeFill="text2" w:themeFillTint="66"/>
            <w:vAlign w:val="center"/>
          </w:tcPr>
          <w:p w14:paraId="70C32DB1" w14:textId="77777777" w:rsidR="00EF56B0" w:rsidRDefault="00B87832" w:rsidP="00B87832">
            <w:pPr>
              <w:rPr>
                <w:lang w:val="en-IE"/>
              </w:rPr>
            </w:pPr>
            <w:r w:rsidRPr="0059550D">
              <w:rPr>
                <w:lang w:val="en-IE"/>
              </w:rPr>
              <w:t>“The number of units required.”</w:t>
            </w:r>
          </w:p>
          <w:p w14:paraId="29B0525C" w14:textId="77777777" w:rsidR="00EF56B0" w:rsidRDefault="00EF56B0" w:rsidP="00B87832">
            <w:pPr>
              <w:rPr>
                <w:lang w:val="en-IE"/>
              </w:rPr>
            </w:pPr>
          </w:p>
          <w:p w14:paraId="5FC456C1" w14:textId="093028EB" w:rsidR="00B87832" w:rsidRPr="0059550D" w:rsidRDefault="00EF56B0" w:rsidP="00B87832">
            <w:pPr>
              <w:rPr>
                <w:lang w:val="en-IE"/>
              </w:rPr>
            </w:pPr>
            <w:r>
              <w:rPr>
                <w:lang w:val="en-IE"/>
              </w:rPr>
              <w:t>&amp;</w:t>
            </w:r>
            <w:r w:rsidR="00B87832" w:rsidRPr="0059550D">
              <w:rPr>
                <w:lang w:val="en-IE"/>
              </w:rPr>
              <w:br/>
            </w:r>
            <w:r w:rsidR="00B87832" w:rsidRPr="0059550D">
              <w:rPr>
                <w:lang w:val="en-IE"/>
              </w:rPr>
              <w:br/>
              <w:t xml:space="preserve">“The unit which the good, service, or work comes in, for example hours or kilograms. </w:t>
            </w:r>
            <w:r w:rsidR="00B87832" w:rsidRPr="0059550D">
              <w:rPr>
                <w:lang w:val="en-IE"/>
              </w:rPr>
              <w:lastRenderedPageBreak/>
              <w:t>[shortened]”</w:t>
            </w:r>
          </w:p>
        </w:tc>
        <w:tc>
          <w:tcPr>
            <w:tcW w:w="3022" w:type="pct"/>
          </w:tcPr>
          <w:p w14:paraId="324C4EC0" w14:textId="322638D2" w:rsidR="00B87832" w:rsidRPr="0059550D" w:rsidRDefault="00B87832" w:rsidP="00B87832">
            <w:pPr>
              <w:rPr>
                <w:b/>
                <w:lang w:val="en-IE"/>
              </w:rPr>
            </w:pPr>
            <w:r w:rsidRPr="0059550D">
              <w:rPr>
                <w:b/>
                <w:lang w:val="en-IE"/>
              </w:rPr>
              <w:lastRenderedPageBreak/>
              <w:t>Reasons for Mandatory or Optional</w:t>
            </w:r>
          </w:p>
          <w:p w14:paraId="7F5E9BF7" w14:textId="423D5957" w:rsidR="00123E81" w:rsidRPr="0059550D" w:rsidRDefault="00123E81" w:rsidP="00B87832">
            <w:pPr>
              <w:rPr>
                <w:lang w:val="en-IE"/>
              </w:rPr>
            </w:pPr>
            <w:r w:rsidRPr="0059550D">
              <w:rPr>
                <w:lang w:val="en-IE"/>
              </w:rPr>
              <w:t xml:space="preserve">In combination with CPV, the fields can be used to establish unit prices (e.g. for cars, medical devices, kilometres of highways, man-hours of IT services), which is a popular demand from procurement data. Furthermore, in some cases, structured data on the number of units can also be a relevant part of procurement description for economic operators. </w:t>
            </w:r>
          </w:p>
          <w:p w14:paraId="4699384B" w14:textId="6C971C45" w:rsidR="00123E81" w:rsidRPr="0059550D" w:rsidRDefault="00123E81" w:rsidP="00B87832">
            <w:pPr>
              <w:rPr>
                <w:lang w:val="en-IE"/>
              </w:rPr>
            </w:pPr>
          </w:p>
          <w:p w14:paraId="7C246871" w14:textId="766E1488" w:rsidR="00123E81" w:rsidRPr="0059550D" w:rsidRDefault="00123E81" w:rsidP="00B87832">
            <w:pPr>
              <w:rPr>
                <w:lang w:val="en-IE"/>
              </w:rPr>
            </w:pPr>
            <w:r w:rsidRPr="0059550D">
              <w:rPr>
                <w:lang w:val="en-IE"/>
              </w:rPr>
              <w:t xml:space="preserve">The fields are useful if a lot covers only a single type of item for which a quantity can be established. For example, the fields can be used when a lot concerns “office chairs”, but not when it concerns “furniture”. </w:t>
            </w:r>
          </w:p>
          <w:p w14:paraId="0CAD2CDD" w14:textId="5048DF75" w:rsidR="00B87832" w:rsidRPr="0059550D" w:rsidRDefault="00B87832" w:rsidP="00B87832">
            <w:pPr>
              <w:rPr>
                <w:b/>
                <w:lang w:val="en-IE"/>
              </w:rPr>
            </w:pPr>
          </w:p>
          <w:p w14:paraId="16B162B9" w14:textId="6DF05261" w:rsidR="00B87832" w:rsidRPr="0059550D" w:rsidRDefault="00B87832" w:rsidP="00B87832">
            <w:pPr>
              <w:rPr>
                <w:b/>
                <w:lang w:val="en-IE"/>
              </w:rPr>
            </w:pPr>
            <w:r w:rsidRPr="0059550D">
              <w:rPr>
                <w:b/>
                <w:lang w:val="en-IE"/>
              </w:rPr>
              <w:t>Reasons for Unused</w:t>
            </w:r>
          </w:p>
          <w:p w14:paraId="0A411B8F" w14:textId="5836CB41" w:rsidR="00123E81" w:rsidRPr="0059550D" w:rsidRDefault="00AA01A7" w:rsidP="00AA01A7">
            <w:pPr>
              <w:rPr>
                <w:i/>
                <w:lang w:val="en-IE"/>
              </w:rPr>
            </w:pPr>
            <w:r w:rsidRPr="0059550D">
              <w:rPr>
                <w:lang w:val="en-IE"/>
              </w:rPr>
              <w:t xml:space="preserve">If procurement is specified very generally (or describes needs rather than solutions), the use of the field may be limited. Furthermore, the usefulness of comparing unit prizes relies on the similarity of the procured goods (e.g. car type, accompanying services such as maintenance and warranty, landscape where a highway is being built). </w:t>
            </w:r>
          </w:p>
        </w:tc>
      </w:tr>
      <w:tr w:rsidR="00D26A85" w:rsidRPr="0059550D" w14:paraId="1C14F270" w14:textId="77777777" w:rsidTr="008D6040">
        <w:tc>
          <w:tcPr>
            <w:tcW w:w="263" w:type="pct"/>
            <w:shd w:val="clear" w:color="auto" w:fill="8DB3E2" w:themeFill="text2" w:themeFillTint="66"/>
            <w:vAlign w:val="center"/>
          </w:tcPr>
          <w:p w14:paraId="33BF85D2" w14:textId="54A988F5" w:rsidR="00D26A85" w:rsidRPr="0059550D" w:rsidRDefault="00832D5D" w:rsidP="00AB6DDE">
            <w:pPr>
              <w:jc w:val="center"/>
              <w:rPr>
                <w:i/>
                <w:szCs w:val="24"/>
                <w:lang w:val="en-IE"/>
              </w:rPr>
            </w:pPr>
            <w:r>
              <w:rPr>
                <w:i/>
                <w:szCs w:val="24"/>
                <w:lang w:val="en-IE"/>
              </w:rPr>
              <w:lastRenderedPageBreak/>
              <w:t>11</w:t>
            </w:r>
          </w:p>
        </w:tc>
        <w:tc>
          <w:tcPr>
            <w:tcW w:w="823" w:type="pct"/>
            <w:shd w:val="clear" w:color="auto" w:fill="8DB3E2" w:themeFill="text2" w:themeFillTint="66"/>
            <w:vAlign w:val="center"/>
          </w:tcPr>
          <w:p w14:paraId="557DA2D4" w14:textId="4F973206" w:rsidR="00D26A85" w:rsidRPr="0059550D" w:rsidRDefault="00D26A85" w:rsidP="00952D33">
            <w:pPr>
              <w:rPr>
                <w:i/>
                <w:szCs w:val="24"/>
                <w:lang w:val="en-IE"/>
              </w:rPr>
            </w:pPr>
            <w:r>
              <w:rPr>
                <w:i/>
                <w:szCs w:val="24"/>
                <w:lang w:val="en-IE"/>
              </w:rPr>
              <w:t>Duration</w:t>
            </w:r>
            <w:r>
              <w:rPr>
                <w:i/>
                <w:szCs w:val="24"/>
                <w:lang w:val="en-IE"/>
              </w:rPr>
              <w:br/>
              <w:t>(BG-36)</w:t>
            </w:r>
          </w:p>
        </w:tc>
        <w:tc>
          <w:tcPr>
            <w:tcW w:w="892" w:type="pct"/>
            <w:shd w:val="clear" w:color="auto" w:fill="8DB3E2" w:themeFill="text2" w:themeFillTint="66"/>
            <w:vAlign w:val="center"/>
          </w:tcPr>
          <w:p w14:paraId="4FDC7B2D" w14:textId="7702EE68" w:rsidR="00D26A85" w:rsidRPr="00D26A85" w:rsidRDefault="00D26A85" w:rsidP="00B87832">
            <w:pPr>
              <w:rPr>
                <w:i/>
                <w:lang w:val="en-IE"/>
              </w:rPr>
            </w:pPr>
            <w:r w:rsidRPr="00D26A85">
              <w:rPr>
                <w:i/>
                <w:lang w:val="en-IE"/>
              </w:rPr>
              <w:t>Information about the duration of the contract, framework agreement, dynamic purchasing system or qualification system.</w:t>
            </w:r>
            <w:r>
              <w:rPr>
                <w:i/>
                <w:lang w:val="en-IE"/>
              </w:rPr>
              <w:t xml:space="preserve"> [Shortened]</w:t>
            </w:r>
          </w:p>
        </w:tc>
        <w:tc>
          <w:tcPr>
            <w:tcW w:w="3022" w:type="pct"/>
          </w:tcPr>
          <w:p w14:paraId="2D4BC279" w14:textId="6D92577D" w:rsidR="00D26A85" w:rsidRDefault="00D26A85" w:rsidP="00D26A85">
            <w:pPr>
              <w:rPr>
                <w:b/>
                <w:lang w:val="en-IE"/>
              </w:rPr>
            </w:pPr>
            <w:r>
              <w:rPr>
                <w:b/>
                <w:lang w:val="en-IE"/>
              </w:rPr>
              <w:t>Reasons for Mandatory</w:t>
            </w:r>
          </w:p>
          <w:p w14:paraId="22333C04" w14:textId="6756047E" w:rsidR="00D26A85" w:rsidRPr="00D26A85" w:rsidRDefault="00D26A85" w:rsidP="00D26A85">
            <w:pPr>
              <w:rPr>
                <w:lang w:val="en-IE"/>
              </w:rPr>
            </w:pPr>
            <w:r w:rsidRPr="00D26A85">
              <w:rPr>
                <w:lang w:val="en-IE"/>
              </w:rPr>
              <w:t>In Result</w:t>
            </w:r>
            <w:r>
              <w:rPr>
                <w:lang w:val="en-IE"/>
              </w:rPr>
              <w:t xml:space="preserve"> forms for procedures that were directly awarded (i.e. no competition form was published), publishing the duration of the contract represents better control and transparency of these contracts.</w:t>
            </w:r>
          </w:p>
          <w:p w14:paraId="5E13D67F" w14:textId="21B58CDF" w:rsidR="00D26A85" w:rsidRDefault="00D26A85" w:rsidP="00D26A85">
            <w:pPr>
              <w:rPr>
                <w:b/>
                <w:lang w:val="en-IE"/>
              </w:rPr>
            </w:pPr>
          </w:p>
          <w:p w14:paraId="4CEA1C0E" w14:textId="598A85BE" w:rsidR="00D26A85" w:rsidRDefault="00D26A85" w:rsidP="00D26A85">
            <w:pPr>
              <w:rPr>
                <w:b/>
                <w:lang w:val="en-IE"/>
              </w:rPr>
            </w:pPr>
            <w:r>
              <w:rPr>
                <w:b/>
                <w:lang w:val="en-IE"/>
              </w:rPr>
              <w:t>Reasons for Optional or Unused</w:t>
            </w:r>
          </w:p>
          <w:p w14:paraId="3239B7F2" w14:textId="66861D62" w:rsidR="00D26A85" w:rsidRPr="00D26A85" w:rsidRDefault="00D26A85" w:rsidP="00D26A85">
            <w:pPr>
              <w:rPr>
                <w:lang w:val="en-IE"/>
              </w:rPr>
            </w:pPr>
            <w:r w:rsidRPr="00D26A85">
              <w:rPr>
                <w:lang w:val="en-IE"/>
              </w:rPr>
              <w:t>In most cases, the field is mandatory in a competition form, so it is not important in a result form.</w:t>
            </w:r>
          </w:p>
          <w:p w14:paraId="586E5738" w14:textId="77777777" w:rsidR="00D26A85" w:rsidRPr="0059550D" w:rsidRDefault="00D26A85" w:rsidP="00B87832">
            <w:pPr>
              <w:rPr>
                <w:b/>
                <w:lang w:val="en-IE"/>
              </w:rPr>
            </w:pPr>
          </w:p>
        </w:tc>
      </w:tr>
      <w:tr w:rsidR="00AB6DDE" w:rsidRPr="0059550D" w14:paraId="6C8886F3" w14:textId="77777777" w:rsidTr="008D6040">
        <w:tc>
          <w:tcPr>
            <w:tcW w:w="263" w:type="pct"/>
            <w:shd w:val="clear" w:color="auto" w:fill="8DB3E2" w:themeFill="text2" w:themeFillTint="66"/>
            <w:vAlign w:val="center"/>
          </w:tcPr>
          <w:p w14:paraId="5A1F143E" w14:textId="2590CE6F" w:rsidR="00AB6DDE" w:rsidRPr="0059550D" w:rsidRDefault="00832D5D" w:rsidP="00AB6DDE">
            <w:pPr>
              <w:jc w:val="center"/>
              <w:rPr>
                <w:i/>
                <w:lang w:val="en-IE"/>
              </w:rPr>
            </w:pPr>
            <w:r>
              <w:rPr>
                <w:i/>
                <w:lang w:val="en-IE"/>
              </w:rPr>
              <w:t>12</w:t>
            </w:r>
          </w:p>
        </w:tc>
        <w:tc>
          <w:tcPr>
            <w:tcW w:w="823" w:type="pct"/>
            <w:shd w:val="clear" w:color="auto" w:fill="8DB3E2" w:themeFill="text2" w:themeFillTint="66"/>
            <w:vAlign w:val="center"/>
          </w:tcPr>
          <w:p w14:paraId="0D37787F" w14:textId="7A006903" w:rsidR="00AB6DDE" w:rsidRPr="0059550D" w:rsidRDefault="00AB6DDE" w:rsidP="00952D33">
            <w:pPr>
              <w:rPr>
                <w:i/>
                <w:lang w:val="en-IE"/>
              </w:rPr>
            </w:pPr>
            <w:r w:rsidRPr="0059550D">
              <w:rPr>
                <w:i/>
                <w:lang w:val="en-IE"/>
              </w:rPr>
              <w:t>Lots Max Allowed</w:t>
            </w:r>
            <w:r w:rsidR="0092591A" w:rsidRPr="0059550D">
              <w:rPr>
                <w:i/>
                <w:lang w:val="en-IE"/>
              </w:rPr>
              <w:br/>
            </w:r>
            <w:r w:rsidRPr="0059550D">
              <w:rPr>
                <w:i/>
                <w:lang w:val="en-IE"/>
              </w:rPr>
              <w:t>(BT-31)</w:t>
            </w:r>
          </w:p>
          <w:p w14:paraId="43872AAA" w14:textId="77777777" w:rsidR="00AB6DDE" w:rsidRPr="0059550D" w:rsidRDefault="00AB6DDE" w:rsidP="00952D33">
            <w:pPr>
              <w:rPr>
                <w:i/>
                <w:lang w:val="en-IE"/>
              </w:rPr>
            </w:pPr>
          </w:p>
          <w:p w14:paraId="6A58D618" w14:textId="77777777" w:rsidR="0092591A" w:rsidRPr="0059550D" w:rsidRDefault="00AB6DDE" w:rsidP="00952D33">
            <w:pPr>
              <w:rPr>
                <w:i/>
                <w:lang w:val="en-IE"/>
              </w:rPr>
            </w:pPr>
            <w:r w:rsidRPr="0059550D">
              <w:rPr>
                <w:i/>
                <w:lang w:val="en-IE"/>
              </w:rPr>
              <w:t xml:space="preserve">&amp; </w:t>
            </w:r>
          </w:p>
          <w:p w14:paraId="2F600DDC" w14:textId="77777777" w:rsidR="0092591A" w:rsidRPr="0059550D" w:rsidRDefault="0092591A" w:rsidP="00952D33">
            <w:pPr>
              <w:rPr>
                <w:i/>
                <w:lang w:val="en-IE"/>
              </w:rPr>
            </w:pPr>
          </w:p>
          <w:p w14:paraId="791AC450" w14:textId="5D922EE1" w:rsidR="00AB6DDE" w:rsidRPr="0059550D" w:rsidRDefault="00AB6DDE" w:rsidP="00952D33">
            <w:pPr>
              <w:rPr>
                <w:i/>
                <w:szCs w:val="24"/>
                <w:lang w:val="en-IE"/>
              </w:rPr>
            </w:pPr>
            <w:r w:rsidRPr="0059550D">
              <w:rPr>
                <w:i/>
                <w:lang w:val="en-IE"/>
              </w:rPr>
              <w:t xml:space="preserve">Lots Max Awarded </w:t>
            </w:r>
            <w:r w:rsidR="0092591A" w:rsidRPr="0059550D">
              <w:rPr>
                <w:i/>
                <w:lang w:val="en-IE"/>
              </w:rPr>
              <w:br/>
              <w:t>(</w:t>
            </w:r>
            <w:r w:rsidRPr="0059550D">
              <w:rPr>
                <w:i/>
                <w:lang w:val="en-IE"/>
              </w:rPr>
              <w:t>BT-33</w:t>
            </w:r>
            <w:r w:rsidR="0092591A" w:rsidRPr="0059550D">
              <w:rPr>
                <w:i/>
                <w:lang w:val="en-IE"/>
              </w:rPr>
              <w:t>)</w:t>
            </w:r>
          </w:p>
        </w:tc>
        <w:tc>
          <w:tcPr>
            <w:tcW w:w="892" w:type="pct"/>
            <w:shd w:val="clear" w:color="auto" w:fill="8DB3E2" w:themeFill="text2" w:themeFillTint="66"/>
            <w:vAlign w:val="center"/>
          </w:tcPr>
          <w:p w14:paraId="00BA051A" w14:textId="77777777" w:rsidR="00AB6DDE" w:rsidRPr="0059550D" w:rsidRDefault="00AB6DDE" w:rsidP="00952D33">
            <w:pPr>
              <w:rPr>
                <w:i/>
                <w:lang w:val="en-IE"/>
              </w:rPr>
            </w:pPr>
            <w:r w:rsidRPr="0059550D">
              <w:rPr>
                <w:i/>
                <w:lang w:val="en-IE"/>
              </w:rPr>
              <w:t>The maximum number of lots for which one tenderer can submit tenders.</w:t>
            </w:r>
          </w:p>
          <w:p w14:paraId="7B626F9D" w14:textId="25D33703" w:rsidR="00AB6DDE" w:rsidRPr="0059550D" w:rsidRDefault="00AB6DDE" w:rsidP="00952D33">
            <w:pPr>
              <w:rPr>
                <w:i/>
                <w:lang w:val="en-IE"/>
              </w:rPr>
            </w:pPr>
          </w:p>
          <w:p w14:paraId="32F240A9" w14:textId="46F0064D" w:rsidR="00AB6DDE" w:rsidRPr="0059550D" w:rsidRDefault="00AB6DDE" w:rsidP="00952D33">
            <w:pPr>
              <w:rPr>
                <w:i/>
                <w:lang w:val="en-IE"/>
              </w:rPr>
            </w:pPr>
            <w:r w:rsidRPr="0059550D">
              <w:rPr>
                <w:i/>
                <w:lang w:val="en-IE"/>
              </w:rPr>
              <w:t>&amp;</w:t>
            </w:r>
          </w:p>
          <w:p w14:paraId="22C39C8F" w14:textId="77777777" w:rsidR="00AB6DDE" w:rsidRPr="0059550D" w:rsidRDefault="00AB6DDE" w:rsidP="00952D33">
            <w:pPr>
              <w:rPr>
                <w:i/>
                <w:lang w:val="en-IE"/>
              </w:rPr>
            </w:pPr>
          </w:p>
          <w:p w14:paraId="12EA3C5B" w14:textId="487D027E" w:rsidR="00AB6DDE" w:rsidRPr="0059550D" w:rsidRDefault="00AB6DDE" w:rsidP="00952D33">
            <w:pPr>
              <w:rPr>
                <w:i/>
                <w:lang w:val="en-IE"/>
              </w:rPr>
            </w:pPr>
            <w:r w:rsidRPr="0059550D">
              <w:rPr>
                <w:i/>
                <w:lang w:val="en-IE"/>
              </w:rPr>
              <w:t>The maximum number of lots for which contract(s) can be awarded to one tenderer.</w:t>
            </w:r>
          </w:p>
        </w:tc>
        <w:tc>
          <w:tcPr>
            <w:tcW w:w="3022" w:type="pct"/>
          </w:tcPr>
          <w:p w14:paraId="0F73EEFC" w14:textId="40169465" w:rsidR="00AB6DDE" w:rsidRPr="0059550D" w:rsidRDefault="00AB6DDE" w:rsidP="00264C8F">
            <w:pPr>
              <w:rPr>
                <w:b/>
                <w:lang w:val="en-IE"/>
              </w:rPr>
            </w:pPr>
            <w:r w:rsidRPr="0059550D">
              <w:rPr>
                <w:b/>
                <w:lang w:val="en-IE"/>
              </w:rPr>
              <w:t>Reasons for Mandatory or Optional</w:t>
            </w:r>
          </w:p>
          <w:p w14:paraId="01D947FE" w14:textId="758CC46D" w:rsidR="00AB6DDE" w:rsidRPr="0059550D" w:rsidRDefault="00AB6DDE" w:rsidP="00264C8F">
            <w:pPr>
              <w:rPr>
                <w:lang w:val="en-IE"/>
              </w:rPr>
            </w:pPr>
            <w:r w:rsidRPr="0059550D">
              <w:rPr>
                <w:lang w:val="en-IE"/>
              </w:rPr>
              <w:t xml:space="preserve">The maximum number of lots that a tenderer can bid for or win importantly influences the decision of economic operators in the procedure, e.g. because a procedure is worth the effort only if the tenderer believes he can win multiple lots. </w:t>
            </w:r>
          </w:p>
          <w:p w14:paraId="345877D1" w14:textId="2FE941D8" w:rsidR="00AB6DDE" w:rsidRPr="0059550D" w:rsidRDefault="00AB6DDE" w:rsidP="00264C8F">
            <w:pPr>
              <w:rPr>
                <w:lang w:val="en-IE"/>
              </w:rPr>
            </w:pPr>
          </w:p>
          <w:p w14:paraId="3C69B8D2" w14:textId="77777777" w:rsidR="00AB6DDE" w:rsidRPr="0059550D" w:rsidRDefault="00AB6DDE" w:rsidP="00264C8F">
            <w:pPr>
              <w:rPr>
                <w:lang w:val="en-IE"/>
              </w:rPr>
            </w:pPr>
            <w:r w:rsidRPr="0059550D">
              <w:rPr>
                <w:lang w:val="en-IE"/>
              </w:rPr>
              <w:t xml:space="preserve">Given its importance for economic operators, the field is useful in all competition forms. </w:t>
            </w:r>
          </w:p>
          <w:p w14:paraId="2FB83595" w14:textId="77777777" w:rsidR="00AB6DDE" w:rsidRPr="0059550D" w:rsidRDefault="00AB6DDE" w:rsidP="00264C8F">
            <w:pPr>
              <w:rPr>
                <w:szCs w:val="24"/>
                <w:lang w:val="en-IE"/>
              </w:rPr>
            </w:pPr>
          </w:p>
          <w:p w14:paraId="437B5FDA" w14:textId="606E4E57" w:rsidR="00AB6DDE" w:rsidRPr="0059550D" w:rsidRDefault="00AB6DDE" w:rsidP="00264C8F">
            <w:pPr>
              <w:rPr>
                <w:b/>
                <w:lang w:val="en-IE"/>
              </w:rPr>
            </w:pPr>
            <w:r w:rsidRPr="0059550D">
              <w:rPr>
                <w:b/>
                <w:lang w:val="en-IE"/>
              </w:rPr>
              <w:t>Reasons for Unused</w:t>
            </w:r>
          </w:p>
          <w:p w14:paraId="3F1A3C4F" w14:textId="4B797683" w:rsidR="00AB6DDE" w:rsidRPr="0059550D" w:rsidRDefault="00AB6DDE" w:rsidP="00551918">
            <w:pPr>
              <w:rPr>
                <w:szCs w:val="24"/>
                <w:lang w:val="en-IE"/>
              </w:rPr>
            </w:pPr>
            <w:r w:rsidRPr="0059550D">
              <w:rPr>
                <w:szCs w:val="24"/>
                <w:lang w:val="en-IE"/>
              </w:rPr>
              <w:t>Causes minimal</w:t>
            </w:r>
            <w:r w:rsidR="00551918">
              <w:rPr>
                <w:szCs w:val="24"/>
                <w:lang w:val="en-IE"/>
              </w:rPr>
              <w:t xml:space="preserve"> </w:t>
            </w:r>
            <w:r w:rsidRPr="0059550D">
              <w:rPr>
                <w:szCs w:val="24"/>
                <w:lang w:val="en-IE"/>
              </w:rPr>
              <w:t xml:space="preserve">administrative </w:t>
            </w:r>
            <w:r w:rsidR="00551918">
              <w:rPr>
                <w:szCs w:val="24"/>
                <w:lang w:val="en-IE"/>
              </w:rPr>
              <w:t>effort</w:t>
            </w:r>
            <w:r w:rsidR="00551918" w:rsidRPr="0059550D">
              <w:rPr>
                <w:szCs w:val="24"/>
                <w:lang w:val="en-IE"/>
              </w:rPr>
              <w:t xml:space="preserve"> </w:t>
            </w:r>
            <w:r w:rsidRPr="0059550D">
              <w:rPr>
                <w:szCs w:val="24"/>
                <w:lang w:val="en-IE"/>
              </w:rPr>
              <w:t>(est. time to fill in is 20 seconds per field).</w:t>
            </w:r>
          </w:p>
        </w:tc>
      </w:tr>
      <w:tr w:rsidR="00A21DA9" w:rsidRPr="0059550D" w14:paraId="0870F9DF" w14:textId="77777777" w:rsidTr="008D6040">
        <w:tc>
          <w:tcPr>
            <w:tcW w:w="263" w:type="pct"/>
            <w:shd w:val="clear" w:color="auto" w:fill="8DB3E2" w:themeFill="text2" w:themeFillTint="66"/>
            <w:vAlign w:val="center"/>
          </w:tcPr>
          <w:p w14:paraId="49C032D1" w14:textId="7A1A7108" w:rsidR="00A21DA9" w:rsidRPr="0059550D" w:rsidRDefault="00832D5D" w:rsidP="00AB6DDE">
            <w:pPr>
              <w:jc w:val="center"/>
              <w:rPr>
                <w:i/>
                <w:lang w:val="en-IE"/>
              </w:rPr>
            </w:pPr>
            <w:r>
              <w:rPr>
                <w:i/>
                <w:lang w:val="en-IE"/>
              </w:rPr>
              <w:t>13</w:t>
            </w:r>
          </w:p>
        </w:tc>
        <w:tc>
          <w:tcPr>
            <w:tcW w:w="823" w:type="pct"/>
            <w:shd w:val="clear" w:color="auto" w:fill="8DB3E2" w:themeFill="text2" w:themeFillTint="66"/>
            <w:vAlign w:val="center"/>
          </w:tcPr>
          <w:p w14:paraId="6D6A5C35" w14:textId="00F9491C" w:rsidR="00A21DA9" w:rsidRPr="0059550D" w:rsidRDefault="00A21DA9" w:rsidP="00952D33">
            <w:pPr>
              <w:rPr>
                <w:i/>
                <w:lang w:val="en-IE"/>
              </w:rPr>
            </w:pPr>
            <w:r w:rsidRPr="0059550D">
              <w:rPr>
                <w:i/>
                <w:lang w:val="en-IE"/>
              </w:rPr>
              <w:t xml:space="preserve">Group Lot Award </w:t>
            </w:r>
            <w:r w:rsidRPr="0059550D">
              <w:rPr>
                <w:i/>
                <w:lang w:val="en-IE"/>
              </w:rPr>
              <w:br/>
              <w:t>(BG-330)</w:t>
            </w:r>
          </w:p>
        </w:tc>
        <w:tc>
          <w:tcPr>
            <w:tcW w:w="892" w:type="pct"/>
            <w:shd w:val="clear" w:color="auto" w:fill="8DB3E2" w:themeFill="text2" w:themeFillTint="66"/>
            <w:vAlign w:val="center"/>
          </w:tcPr>
          <w:p w14:paraId="246046C1" w14:textId="10E728E0" w:rsidR="00A21DA9" w:rsidRPr="0059550D" w:rsidRDefault="00A21DA9" w:rsidP="00952D33">
            <w:pPr>
              <w:rPr>
                <w:i/>
                <w:lang w:val="en-IE"/>
              </w:rPr>
            </w:pPr>
            <w:r w:rsidRPr="0059550D">
              <w:rPr>
                <w:i/>
                <w:lang w:val="en-IE"/>
              </w:rPr>
              <w:t xml:space="preserve">Tenderers may submit tenders not only for individual lots, but also </w:t>
            </w:r>
            <w:r w:rsidRPr="0059550D">
              <w:rPr>
                <w:i/>
                <w:lang w:val="en-IE"/>
              </w:rPr>
              <w:lastRenderedPageBreak/>
              <w:t>for the groups of lots given here. The buyer may then compare the tenders submitted for groups of lots with those for individual lots and evaluate which option best fulfils the award criteria. Each group of lots must have clear award criteria.</w:t>
            </w:r>
          </w:p>
        </w:tc>
        <w:tc>
          <w:tcPr>
            <w:tcW w:w="3022" w:type="pct"/>
          </w:tcPr>
          <w:p w14:paraId="0BEBAFCD" w14:textId="74F08778" w:rsidR="00AA51FB" w:rsidRPr="0059550D" w:rsidRDefault="00AA51FB" w:rsidP="00264C8F">
            <w:pPr>
              <w:rPr>
                <w:b/>
                <w:lang w:val="en-IE"/>
              </w:rPr>
            </w:pPr>
            <w:r w:rsidRPr="0059550D">
              <w:rPr>
                <w:b/>
                <w:lang w:val="en-IE"/>
              </w:rPr>
              <w:lastRenderedPageBreak/>
              <w:t>Reasons for Mandatory</w:t>
            </w:r>
          </w:p>
          <w:p w14:paraId="4A89F6E9" w14:textId="08A8CDB4" w:rsidR="00AA51FB" w:rsidRPr="0059550D" w:rsidRDefault="00AA51FB" w:rsidP="00264C8F">
            <w:pPr>
              <w:rPr>
                <w:lang w:val="en-IE"/>
              </w:rPr>
            </w:pPr>
            <w:r w:rsidRPr="0059550D">
              <w:rPr>
                <w:lang w:val="en-IE"/>
              </w:rPr>
              <w:t>None</w:t>
            </w:r>
          </w:p>
          <w:p w14:paraId="4EE81F46" w14:textId="4D7B803E" w:rsidR="00AA51FB" w:rsidRPr="0059550D" w:rsidRDefault="00AA51FB" w:rsidP="00264C8F">
            <w:pPr>
              <w:rPr>
                <w:lang w:val="en-IE"/>
              </w:rPr>
            </w:pPr>
          </w:p>
          <w:p w14:paraId="15F3A185" w14:textId="18D624C6" w:rsidR="00AA51FB" w:rsidRPr="0059550D" w:rsidRDefault="00AA51FB" w:rsidP="00264C8F">
            <w:pPr>
              <w:rPr>
                <w:b/>
                <w:lang w:val="en-IE"/>
              </w:rPr>
            </w:pPr>
            <w:r w:rsidRPr="0059550D">
              <w:rPr>
                <w:b/>
                <w:lang w:val="en-IE"/>
              </w:rPr>
              <w:lastRenderedPageBreak/>
              <w:t>Reasons for Optional</w:t>
            </w:r>
          </w:p>
          <w:p w14:paraId="08F0B072" w14:textId="553B6CA6" w:rsidR="00A21DA9" w:rsidRPr="0059550D" w:rsidRDefault="00A21DA9" w:rsidP="00264C8F">
            <w:pPr>
              <w:rPr>
                <w:lang w:val="en-IE"/>
              </w:rPr>
            </w:pPr>
            <w:r w:rsidRPr="0059550D">
              <w:rPr>
                <w:lang w:val="en-IE"/>
              </w:rPr>
              <w:t>The directives</w:t>
            </w:r>
            <w:r w:rsidR="00383523" w:rsidRPr="0059550D">
              <w:rPr>
                <w:rStyle w:val="FootnoteReference"/>
                <w:lang w:val="en-IE"/>
              </w:rPr>
              <w:footnoteReference w:id="84"/>
            </w:r>
            <w:r w:rsidR="00AA51FB" w:rsidRPr="0059550D">
              <w:rPr>
                <w:lang w:val="en-IE"/>
              </w:rPr>
              <w:t xml:space="preserve"> provide the possibility for tenders to be submitted and evaluated not only per lot, but also for a group of lots. </w:t>
            </w:r>
          </w:p>
          <w:p w14:paraId="63C3ED00" w14:textId="27A6E80A" w:rsidR="00AA51FB" w:rsidRPr="0059550D" w:rsidRDefault="00AA51FB" w:rsidP="00264C8F">
            <w:pPr>
              <w:rPr>
                <w:lang w:val="en-IE"/>
              </w:rPr>
            </w:pPr>
          </w:p>
          <w:p w14:paraId="492099D4" w14:textId="07BD8BA4" w:rsidR="00AA51FB" w:rsidRPr="0059550D" w:rsidRDefault="00AA51FB" w:rsidP="00AA51FB">
            <w:pPr>
              <w:shd w:val="clear" w:color="auto" w:fill="FFFFFF"/>
              <w:rPr>
                <w:lang w:val="en-IE"/>
              </w:rPr>
            </w:pPr>
            <w:r w:rsidRPr="0059550D">
              <w:rPr>
                <w:lang w:val="en-IE"/>
              </w:rPr>
              <w:t>For example, there can be two lots with price as the only award criterion. T</w:t>
            </w:r>
            <w:r w:rsidRPr="00AA51FB">
              <w:rPr>
                <w:lang w:val="en-IE"/>
              </w:rPr>
              <w:t xml:space="preserve">enderer A offers </w:t>
            </w:r>
            <w:r w:rsidRPr="0059550D">
              <w:rPr>
                <w:lang w:val="en-IE"/>
              </w:rPr>
              <w:t>€100,</w:t>
            </w:r>
            <w:r w:rsidRPr="00AA51FB">
              <w:rPr>
                <w:lang w:val="en-IE"/>
              </w:rPr>
              <w:t xml:space="preserve">000 </w:t>
            </w:r>
            <w:r w:rsidRPr="0059550D">
              <w:rPr>
                <w:lang w:val="en-IE"/>
              </w:rPr>
              <w:t>for lot 1 and</w:t>
            </w:r>
            <w:r w:rsidRPr="00AA51FB">
              <w:rPr>
                <w:lang w:val="en-IE"/>
              </w:rPr>
              <w:t xml:space="preserve"> </w:t>
            </w:r>
            <w:r w:rsidRPr="0059550D">
              <w:rPr>
                <w:lang w:val="en-IE"/>
              </w:rPr>
              <w:t>€120,</w:t>
            </w:r>
            <w:r w:rsidRPr="00AA51FB">
              <w:rPr>
                <w:lang w:val="en-IE"/>
              </w:rPr>
              <w:t>000 f</w:t>
            </w:r>
            <w:r w:rsidRPr="0059550D">
              <w:rPr>
                <w:lang w:val="en-IE"/>
              </w:rPr>
              <w:t>or lot 2; tenderer B offers €110,000 for lot 1 and €100,</w:t>
            </w:r>
            <w:r w:rsidRPr="00AA51FB">
              <w:rPr>
                <w:lang w:val="en-IE"/>
              </w:rPr>
              <w:t>000 for lot 2 and adds that the overall price if awarded both</w:t>
            </w:r>
            <w:r w:rsidRPr="0059550D">
              <w:rPr>
                <w:lang w:val="en-IE"/>
              </w:rPr>
              <w:t xml:space="preserve"> lots, i.e. for a group of lots 1 &amp; 2,</w:t>
            </w:r>
            <w:r w:rsidRPr="00AA51FB">
              <w:rPr>
                <w:lang w:val="en-IE"/>
              </w:rPr>
              <w:t xml:space="preserve"> will be a total of </w:t>
            </w:r>
            <w:r w:rsidRPr="0059550D">
              <w:rPr>
                <w:lang w:val="en-IE"/>
              </w:rPr>
              <w:t>€</w:t>
            </w:r>
            <w:r w:rsidRPr="00AA51FB">
              <w:rPr>
                <w:lang w:val="en-IE"/>
              </w:rPr>
              <w:t xml:space="preserve">180.000. The </w:t>
            </w:r>
            <w:r w:rsidRPr="0059550D">
              <w:rPr>
                <w:lang w:val="en-IE"/>
              </w:rPr>
              <w:t xml:space="preserve">buyer </w:t>
            </w:r>
            <w:r w:rsidRPr="00AA51FB">
              <w:rPr>
                <w:lang w:val="en-IE"/>
              </w:rPr>
              <w:t xml:space="preserve">therefore </w:t>
            </w:r>
            <w:r w:rsidRPr="0059550D">
              <w:rPr>
                <w:lang w:val="en-IE"/>
              </w:rPr>
              <w:t xml:space="preserve">has </w:t>
            </w:r>
            <w:r w:rsidRPr="00AA51FB">
              <w:rPr>
                <w:lang w:val="en-IE"/>
              </w:rPr>
              <w:t xml:space="preserve">the following options: 1) award the contract for lot 1 to A, and the one for lot 2 to B (overall price: </w:t>
            </w:r>
            <w:r w:rsidRPr="0059550D">
              <w:rPr>
                <w:lang w:val="en-IE"/>
              </w:rPr>
              <w:t>€</w:t>
            </w:r>
            <w:r w:rsidRPr="00AA51FB">
              <w:rPr>
                <w:lang w:val="en-IE"/>
              </w:rPr>
              <w:t xml:space="preserve">100 000 + </w:t>
            </w:r>
            <w:r w:rsidRPr="0059550D">
              <w:rPr>
                <w:lang w:val="en-IE"/>
              </w:rPr>
              <w:t>€</w:t>
            </w:r>
            <w:r w:rsidRPr="00AA51FB">
              <w:rPr>
                <w:lang w:val="en-IE"/>
              </w:rPr>
              <w:t>100 000</w:t>
            </w:r>
            <w:r w:rsidRPr="0059550D">
              <w:rPr>
                <w:lang w:val="en-IE"/>
              </w:rPr>
              <w:t xml:space="preserve"> </w:t>
            </w:r>
            <w:r w:rsidRPr="00AA51FB">
              <w:rPr>
                <w:lang w:val="en-IE"/>
              </w:rPr>
              <w:t xml:space="preserve">= </w:t>
            </w:r>
            <w:r w:rsidRPr="0059550D">
              <w:rPr>
                <w:lang w:val="en-IE"/>
              </w:rPr>
              <w:t>€</w:t>
            </w:r>
            <w:r w:rsidRPr="00AA51FB">
              <w:rPr>
                <w:lang w:val="en-IE"/>
              </w:rPr>
              <w:t xml:space="preserve">200 000) or 2) award one single contract for both lots to B, total price </w:t>
            </w:r>
            <w:r w:rsidRPr="0059550D">
              <w:rPr>
                <w:lang w:val="en-IE"/>
              </w:rPr>
              <w:t>€</w:t>
            </w:r>
            <w:r w:rsidRPr="00AA51FB">
              <w:rPr>
                <w:lang w:val="en-IE"/>
              </w:rPr>
              <w:t xml:space="preserve">180 000. </w:t>
            </w:r>
            <w:r w:rsidRPr="0059550D">
              <w:rPr>
                <w:lang w:val="en-IE"/>
              </w:rPr>
              <w:t>The most advantageous option is</w:t>
            </w:r>
            <w:r w:rsidRPr="00AA51FB">
              <w:rPr>
                <w:lang w:val="en-IE"/>
              </w:rPr>
              <w:t xml:space="preserve"> 2)</w:t>
            </w:r>
            <w:r w:rsidRPr="0059550D">
              <w:rPr>
                <w:lang w:val="en-IE"/>
              </w:rPr>
              <w:t xml:space="preserve">. </w:t>
            </w:r>
          </w:p>
          <w:p w14:paraId="7861C602" w14:textId="77777777" w:rsidR="00383523" w:rsidRPr="00383523" w:rsidRDefault="00383523" w:rsidP="00383523">
            <w:pPr>
              <w:pBdr>
                <w:bottom w:val="single" w:sz="6" w:space="1" w:color="auto"/>
              </w:pBdr>
              <w:jc w:val="center"/>
              <w:rPr>
                <w:rFonts w:ascii="Arial" w:eastAsia="Times New Roman" w:hAnsi="Arial" w:cs="Arial"/>
                <w:vanish/>
                <w:sz w:val="16"/>
                <w:szCs w:val="16"/>
                <w:lang w:val="en-IE"/>
              </w:rPr>
            </w:pPr>
            <w:r w:rsidRPr="00383523">
              <w:rPr>
                <w:rFonts w:ascii="Arial" w:eastAsia="Times New Roman" w:hAnsi="Arial" w:cs="Arial"/>
                <w:vanish/>
                <w:sz w:val="16"/>
                <w:szCs w:val="16"/>
                <w:lang w:val="en-IE"/>
              </w:rPr>
              <w:t>Top of Form</w:t>
            </w:r>
          </w:p>
          <w:p w14:paraId="59F63CBA" w14:textId="77777777" w:rsidR="00383523" w:rsidRPr="00383523" w:rsidRDefault="00383523" w:rsidP="00383523">
            <w:pPr>
              <w:pBdr>
                <w:top w:val="single" w:sz="6" w:space="1" w:color="auto"/>
              </w:pBdr>
              <w:jc w:val="center"/>
              <w:rPr>
                <w:rFonts w:ascii="Arial" w:eastAsia="Times New Roman" w:hAnsi="Arial" w:cs="Arial"/>
                <w:vanish/>
                <w:sz w:val="16"/>
                <w:szCs w:val="16"/>
                <w:lang w:val="en-IE"/>
              </w:rPr>
            </w:pPr>
            <w:r w:rsidRPr="00383523">
              <w:rPr>
                <w:rFonts w:ascii="Arial" w:eastAsia="Times New Roman" w:hAnsi="Arial" w:cs="Arial"/>
                <w:vanish/>
                <w:sz w:val="16"/>
                <w:szCs w:val="16"/>
                <w:lang w:val="en-IE"/>
              </w:rPr>
              <w:t>Bottom of Form</w:t>
            </w:r>
          </w:p>
          <w:p w14:paraId="2AF9E9D1" w14:textId="77777777" w:rsidR="00383523" w:rsidRPr="0059550D" w:rsidRDefault="00383523" w:rsidP="00264C8F">
            <w:pPr>
              <w:rPr>
                <w:b/>
                <w:lang w:val="en-IE"/>
              </w:rPr>
            </w:pPr>
          </w:p>
          <w:p w14:paraId="193ED833" w14:textId="77777777" w:rsidR="00383523" w:rsidRPr="0059550D" w:rsidRDefault="00383523" w:rsidP="00264C8F">
            <w:pPr>
              <w:rPr>
                <w:b/>
                <w:lang w:val="en-IE"/>
              </w:rPr>
            </w:pPr>
            <w:r w:rsidRPr="0059550D">
              <w:rPr>
                <w:b/>
                <w:lang w:val="en-IE"/>
              </w:rPr>
              <w:t>Reasons for Unused</w:t>
            </w:r>
          </w:p>
          <w:p w14:paraId="1C872A5D" w14:textId="29C8F0A7" w:rsidR="00383523" w:rsidRPr="0059550D" w:rsidRDefault="00AA51FB" w:rsidP="00AA51FB">
            <w:pPr>
              <w:rPr>
                <w:lang w:val="en-IE"/>
              </w:rPr>
            </w:pPr>
            <w:r w:rsidRPr="0059550D">
              <w:rPr>
                <w:lang w:val="en-IE"/>
              </w:rPr>
              <w:t xml:space="preserve">In some EU countries, grouping lots for submission and evaluation is not allowed, in which case this field is not useful. </w:t>
            </w:r>
          </w:p>
        </w:tc>
      </w:tr>
      <w:tr w:rsidR="00AB6DDE" w:rsidRPr="0059550D" w14:paraId="72ED44A2" w14:textId="77777777" w:rsidTr="00DB0A51">
        <w:trPr>
          <w:trHeight w:val="4139"/>
        </w:trPr>
        <w:tc>
          <w:tcPr>
            <w:tcW w:w="263" w:type="pct"/>
            <w:shd w:val="clear" w:color="auto" w:fill="8DB3E2" w:themeFill="text2" w:themeFillTint="66"/>
            <w:vAlign w:val="center"/>
          </w:tcPr>
          <w:p w14:paraId="5AE23261" w14:textId="0DC45B75" w:rsidR="00AB6DDE" w:rsidRPr="0059550D" w:rsidRDefault="00832D5D" w:rsidP="00AB6DDE">
            <w:pPr>
              <w:jc w:val="center"/>
              <w:rPr>
                <w:i/>
                <w:lang w:val="en-IE"/>
              </w:rPr>
            </w:pPr>
            <w:r>
              <w:rPr>
                <w:i/>
                <w:lang w:val="en-IE"/>
              </w:rPr>
              <w:lastRenderedPageBreak/>
              <w:t>14</w:t>
            </w:r>
          </w:p>
        </w:tc>
        <w:tc>
          <w:tcPr>
            <w:tcW w:w="823" w:type="pct"/>
            <w:shd w:val="clear" w:color="auto" w:fill="8DB3E2" w:themeFill="text2" w:themeFillTint="66"/>
            <w:vAlign w:val="center"/>
          </w:tcPr>
          <w:p w14:paraId="478CBB36" w14:textId="75586331" w:rsidR="00AB6DDE" w:rsidRPr="0059550D" w:rsidRDefault="00AB6DDE" w:rsidP="00952D33">
            <w:pPr>
              <w:rPr>
                <w:i/>
                <w:lang w:val="en-IE"/>
              </w:rPr>
            </w:pPr>
            <w:r w:rsidRPr="0059550D">
              <w:rPr>
                <w:i/>
                <w:lang w:val="en-IE"/>
              </w:rPr>
              <w:t>Minimum Candidates (BT-50)</w:t>
            </w:r>
          </w:p>
          <w:p w14:paraId="50C78298" w14:textId="1599BF92" w:rsidR="00AB6DDE" w:rsidRPr="0059550D" w:rsidRDefault="00AB6DDE" w:rsidP="00952D33">
            <w:pPr>
              <w:rPr>
                <w:i/>
                <w:lang w:val="en-IE"/>
              </w:rPr>
            </w:pPr>
          </w:p>
          <w:p w14:paraId="4656FAE3" w14:textId="23BC0643" w:rsidR="00AB6DDE" w:rsidRPr="0059550D" w:rsidRDefault="00AB6DDE" w:rsidP="00952D33">
            <w:pPr>
              <w:rPr>
                <w:i/>
                <w:lang w:val="en-IE"/>
              </w:rPr>
            </w:pPr>
            <w:r w:rsidRPr="0059550D">
              <w:rPr>
                <w:i/>
                <w:lang w:val="en-IE"/>
              </w:rPr>
              <w:t>&amp;</w:t>
            </w:r>
          </w:p>
          <w:p w14:paraId="1FD1777D" w14:textId="77777777" w:rsidR="00AB6DDE" w:rsidRPr="0059550D" w:rsidRDefault="00AB6DDE" w:rsidP="00952D33">
            <w:pPr>
              <w:rPr>
                <w:i/>
                <w:lang w:val="en-IE"/>
              </w:rPr>
            </w:pPr>
          </w:p>
          <w:p w14:paraId="45EA1D56" w14:textId="2BF9B759" w:rsidR="00AB6DDE" w:rsidRPr="0059550D" w:rsidRDefault="00AB6DDE" w:rsidP="00952D33">
            <w:pPr>
              <w:rPr>
                <w:i/>
                <w:lang w:val="en-IE"/>
              </w:rPr>
            </w:pPr>
            <w:r w:rsidRPr="0059550D">
              <w:rPr>
                <w:i/>
                <w:lang w:val="en-IE"/>
              </w:rPr>
              <w:t xml:space="preserve">Maximum Candidates Indicator </w:t>
            </w:r>
            <w:r w:rsidR="0092591A" w:rsidRPr="0059550D">
              <w:rPr>
                <w:i/>
                <w:lang w:val="en-IE"/>
              </w:rPr>
              <w:br/>
            </w:r>
            <w:r w:rsidRPr="0059550D">
              <w:rPr>
                <w:i/>
                <w:lang w:val="en-IE"/>
              </w:rPr>
              <w:t xml:space="preserve">(BT-661) </w:t>
            </w:r>
          </w:p>
          <w:p w14:paraId="452C73B7" w14:textId="029926F3" w:rsidR="00AB6DDE" w:rsidRPr="0059550D" w:rsidRDefault="00AB6DDE" w:rsidP="00952D33">
            <w:pPr>
              <w:rPr>
                <w:i/>
                <w:lang w:val="en-IE"/>
              </w:rPr>
            </w:pPr>
          </w:p>
          <w:p w14:paraId="723E1EAC" w14:textId="77777777" w:rsidR="00AB6DDE" w:rsidRPr="0059550D" w:rsidRDefault="00AB6DDE" w:rsidP="00952D33">
            <w:pPr>
              <w:rPr>
                <w:i/>
                <w:lang w:val="en-IE"/>
              </w:rPr>
            </w:pPr>
            <w:r w:rsidRPr="0059550D">
              <w:rPr>
                <w:i/>
                <w:lang w:val="en-IE"/>
              </w:rPr>
              <w:t xml:space="preserve">&amp; </w:t>
            </w:r>
          </w:p>
          <w:p w14:paraId="52CBC152" w14:textId="77777777" w:rsidR="00AB6DDE" w:rsidRPr="0059550D" w:rsidRDefault="00AB6DDE" w:rsidP="00952D33">
            <w:pPr>
              <w:rPr>
                <w:i/>
                <w:lang w:val="en-IE"/>
              </w:rPr>
            </w:pPr>
          </w:p>
          <w:p w14:paraId="1D80868B" w14:textId="12151F25" w:rsidR="00AB6DDE" w:rsidRPr="0059550D" w:rsidRDefault="00AB6DDE" w:rsidP="00952D33">
            <w:pPr>
              <w:rPr>
                <w:i/>
                <w:lang w:val="en-IE"/>
              </w:rPr>
            </w:pPr>
            <w:r w:rsidRPr="0059550D">
              <w:rPr>
                <w:i/>
                <w:lang w:val="en-IE"/>
              </w:rPr>
              <w:t xml:space="preserve">Maximum Candidates Number </w:t>
            </w:r>
            <w:r w:rsidR="0092591A" w:rsidRPr="0059550D">
              <w:rPr>
                <w:i/>
                <w:lang w:val="en-IE"/>
              </w:rPr>
              <w:br/>
            </w:r>
            <w:r w:rsidRPr="0059550D">
              <w:rPr>
                <w:i/>
                <w:lang w:val="en-IE"/>
              </w:rPr>
              <w:t xml:space="preserve">(BT-51) </w:t>
            </w:r>
          </w:p>
          <w:p w14:paraId="61C4BCE9" w14:textId="77777777" w:rsidR="00AB6DDE" w:rsidRPr="0059550D" w:rsidRDefault="00AB6DDE" w:rsidP="00952D33">
            <w:pPr>
              <w:rPr>
                <w:i/>
                <w:lang w:val="en-IE"/>
              </w:rPr>
            </w:pPr>
          </w:p>
          <w:p w14:paraId="6F618276" w14:textId="77777777" w:rsidR="00AB6DDE" w:rsidRPr="0059550D" w:rsidRDefault="00AB6DDE" w:rsidP="00952D33">
            <w:pPr>
              <w:rPr>
                <w:i/>
                <w:szCs w:val="24"/>
                <w:lang w:val="en-IE"/>
              </w:rPr>
            </w:pPr>
          </w:p>
        </w:tc>
        <w:tc>
          <w:tcPr>
            <w:tcW w:w="892" w:type="pct"/>
            <w:shd w:val="clear" w:color="auto" w:fill="8DB3E2" w:themeFill="text2" w:themeFillTint="66"/>
            <w:vAlign w:val="center"/>
          </w:tcPr>
          <w:p w14:paraId="39618104" w14:textId="77777777" w:rsidR="00AB6DDE" w:rsidRPr="0059550D" w:rsidRDefault="00AB6DDE" w:rsidP="00952D33">
            <w:pPr>
              <w:rPr>
                <w:i/>
                <w:lang w:val="en-IE"/>
              </w:rPr>
            </w:pPr>
            <w:r w:rsidRPr="0059550D">
              <w:rPr>
                <w:i/>
                <w:lang w:val="en-IE"/>
              </w:rPr>
              <w:t>The minimum number of candidates to be invited for the second stage of the procedure.</w:t>
            </w:r>
          </w:p>
          <w:p w14:paraId="4A932D0E" w14:textId="6AA83DF2" w:rsidR="00AB6DDE" w:rsidRPr="0059550D" w:rsidRDefault="00AB6DDE" w:rsidP="00952D33">
            <w:pPr>
              <w:rPr>
                <w:i/>
                <w:lang w:val="en-IE"/>
              </w:rPr>
            </w:pPr>
            <w:r w:rsidRPr="0059550D">
              <w:rPr>
                <w:i/>
                <w:lang w:val="en-IE"/>
              </w:rPr>
              <w:t>&amp;</w:t>
            </w:r>
          </w:p>
          <w:p w14:paraId="4BABA3CD" w14:textId="3272FF0A" w:rsidR="00AB6DDE" w:rsidRPr="0059550D" w:rsidRDefault="00AB6DDE" w:rsidP="00952D33">
            <w:pPr>
              <w:rPr>
                <w:i/>
                <w:lang w:val="en-IE"/>
              </w:rPr>
            </w:pPr>
            <w:r w:rsidRPr="0059550D">
              <w:rPr>
                <w:i/>
                <w:lang w:val="en-IE"/>
              </w:rPr>
              <w:t>There is a maximum number of candidates to be invited for the second stage of the procedure.</w:t>
            </w:r>
          </w:p>
          <w:p w14:paraId="29E1DC42" w14:textId="622FC96D" w:rsidR="00AB6DDE" w:rsidRPr="0059550D" w:rsidRDefault="00AB6DDE" w:rsidP="00952D33">
            <w:pPr>
              <w:rPr>
                <w:i/>
                <w:lang w:val="en-IE"/>
              </w:rPr>
            </w:pPr>
            <w:r w:rsidRPr="0059550D">
              <w:rPr>
                <w:i/>
                <w:lang w:val="en-IE"/>
              </w:rPr>
              <w:t>&amp;</w:t>
            </w:r>
          </w:p>
          <w:p w14:paraId="0AD6CFF9" w14:textId="1E16CC10" w:rsidR="00AB6DDE" w:rsidRPr="00EF56B0" w:rsidRDefault="00AB6DDE" w:rsidP="00952D33">
            <w:pPr>
              <w:rPr>
                <w:i/>
                <w:lang w:val="en-IE"/>
              </w:rPr>
            </w:pPr>
            <w:r w:rsidRPr="0059550D">
              <w:rPr>
                <w:i/>
                <w:lang w:val="en-IE"/>
              </w:rPr>
              <w:t>The maximum number of candidates to be invited for the second stage of the procedure.</w:t>
            </w:r>
          </w:p>
        </w:tc>
        <w:tc>
          <w:tcPr>
            <w:tcW w:w="3022" w:type="pct"/>
          </w:tcPr>
          <w:p w14:paraId="601842A1" w14:textId="27AD5649" w:rsidR="00AB6DDE" w:rsidRPr="0059550D" w:rsidRDefault="00AB6DDE" w:rsidP="00264C8F">
            <w:pPr>
              <w:rPr>
                <w:b/>
                <w:lang w:val="en-IE"/>
              </w:rPr>
            </w:pPr>
            <w:r w:rsidRPr="0059550D">
              <w:rPr>
                <w:b/>
                <w:lang w:val="en-IE"/>
              </w:rPr>
              <w:t xml:space="preserve">Reasons for Mandatory or Optional </w:t>
            </w:r>
          </w:p>
          <w:p w14:paraId="0EE55375" w14:textId="77777777" w:rsidR="00AB6DDE" w:rsidRPr="0059550D" w:rsidRDefault="00AB6DDE" w:rsidP="00264C8F">
            <w:pPr>
              <w:rPr>
                <w:lang w:val="en-IE"/>
              </w:rPr>
            </w:pPr>
            <w:r w:rsidRPr="0059550D">
              <w:rPr>
                <w:lang w:val="en-IE"/>
              </w:rPr>
              <w:t xml:space="preserve">The number of candidates invited for the second stage importantly influences the decision of economic operators to participate in the procedure, because it defines how much the winner is selected on the basis of “who he is” rather than “what does he offer”. </w:t>
            </w:r>
          </w:p>
          <w:p w14:paraId="663B90C6" w14:textId="77777777" w:rsidR="00AB6DDE" w:rsidRPr="0059550D" w:rsidRDefault="00AB6DDE" w:rsidP="00264C8F">
            <w:pPr>
              <w:rPr>
                <w:lang w:val="en-IE"/>
              </w:rPr>
            </w:pPr>
          </w:p>
          <w:p w14:paraId="473B6062" w14:textId="53DDED6F" w:rsidR="00AB6DDE" w:rsidRPr="0059550D" w:rsidRDefault="00AB6DDE" w:rsidP="00264C8F">
            <w:pPr>
              <w:rPr>
                <w:lang w:val="en-IE"/>
              </w:rPr>
            </w:pPr>
            <w:r w:rsidRPr="0059550D">
              <w:rPr>
                <w:lang w:val="en-IE"/>
              </w:rPr>
              <w:t xml:space="preserve">Given its importance for economic operators, the field is useful in all competition forms. </w:t>
            </w:r>
          </w:p>
          <w:p w14:paraId="3CF741D5" w14:textId="77777777" w:rsidR="00AB6DDE" w:rsidRPr="0059550D" w:rsidRDefault="00AB6DDE" w:rsidP="00264C8F">
            <w:pPr>
              <w:rPr>
                <w:szCs w:val="24"/>
                <w:lang w:val="en-IE"/>
              </w:rPr>
            </w:pPr>
          </w:p>
          <w:p w14:paraId="0E250F4B" w14:textId="6FA21CBC" w:rsidR="00AB6DDE" w:rsidRPr="0059550D" w:rsidRDefault="00AB6DDE" w:rsidP="00264C8F">
            <w:pPr>
              <w:rPr>
                <w:b/>
                <w:lang w:val="en-IE"/>
              </w:rPr>
            </w:pPr>
            <w:r w:rsidRPr="0059550D">
              <w:rPr>
                <w:b/>
                <w:lang w:val="en-IE"/>
              </w:rPr>
              <w:t>Reasons for Unused</w:t>
            </w:r>
          </w:p>
          <w:p w14:paraId="6DF53488" w14:textId="37976039" w:rsidR="00AB6DDE" w:rsidRPr="0059550D" w:rsidRDefault="00AB6DDE" w:rsidP="00264C8F">
            <w:pPr>
              <w:rPr>
                <w:szCs w:val="24"/>
                <w:lang w:val="en-IE"/>
              </w:rPr>
            </w:pPr>
            <w:r w:rsidRPr="0059550D">
              <w:rPr>
                <w:szCs w:val="24"/>
                <w:lang w:val="en-IE"/>
              </w:rPr>
              <w:t xml:space="preserve">Causes minimal administrative </w:t>
            </w:r>
            <w:r w:rsidR="00551918">
              <w:rPr>
                <w:szCs w:val="24"/>
                <w:lang w:val="en-IE"/>
              </w:rPr>
              <w:t>effort</w:t>
            </w:r>
            <w:r w:rsidRPr="0059550D">
              <w:rPr>
                <w:szCs w:val="24"/>
                <w:lang w:val="en-IE"/>
              </w:rPr>
              <w:t xml:space="preserve"> (est. time to fill in is 20 seconds per field). </w:t>
            </w:r>
          </w:p>
        </w:tc>
      </w:tr>
      <w:tr w:rsidR="00AB6DDE" w:rsidRPr="0059550D" w14:paraId="58DB16EC" w14:textId="77777777" w:rsidTr="008D6040">
        <w:tc>
          <w:tcPr>
            <w:tcW w:w="263" w:type="pct"/>
            <w:shd w:val="clear" w:color="auto" w:fill="8DB3E2" w:themeFill="text2" w:themeFillTint="66"/>
            <w:vAlign w:val="center"/>
          </w:tcPr>
          <w:p w14:paraId="2F882F4C" w14:textId="45534A77" w:rsidR="00AB6DDE" w:rsidRPr="0059550D" w:rsidRDefault="00832D5D" w:rsidP="00AB6DDE">
            <w:pPr>
              <w:jc w:val="center"/>
              <w:rPr>
                <w:i/>
                <w:lang w:val="en-IE"/>
              </w:rPr>
            </w:pPr>
            <w:r>
              <w:rPr>
                <w:i/>
                <w:lang w:val="en-IE"/>
              </w:rPr>
              <w:t>15</w:t>
            </w:r>
          </w:p>
        </w:tc>
        <w:tc>
          <w:tcPr>
            <w:tcW w:w="823" w:type="pct"/>
            <w:shd w:val="clear" w:color="auto" w:fill="8DB3E2" w:themeFill="text2" w:themeFillTint="66"/>
            <w:vAlign w:val="center"/>
          </w:tcPr>
          <w:p w14:paraId="1D5C070A" w14:textId="32B39C83" w:rsidR="00AB6DDE" w:rsidRPr="0059550D" w:rsidRDefault="00AB6DDE" w:rsidP="00952D33">
            <w:pPr>
              <w:rPr>
                <w:i/>
                <w:lang w:val="en-IE"/>
              </w:rPr>
            </w:pPr>
            <w:r w:rsidRPr="0059550D">
              <w:rPr>
                <w:i/>
                <w:lang w:val="en-IE"/>
              </w:rPr>
              <w:t>Award Criteria Order Justification (BT-733)</w:t>
            </w:r>
          </w:p>
          <w:p w14:paraId="46B2F63E" w14:textId="77777777" w:rsidR="00AB6DDE" w:rsidRPr="0059550D" w:rsidRDefault="00AB6DDE" w:rsidP="00952D33">
            <w:pPr>
              <w:rPr>
                <w:i/>
                <w:lang w:val="en-IE"/>
              </w:rPr>
            </w:pPr>
            <w:r w:rsidRPr="0059550D">
              <w:rPr>
                <w:i/>
                <w:lang w:val="en-IE"/>
              </w:rPr>
              <w:t>&amp;</w:t>
            </w:r>
          </w:p>
          <w:p w14:paraId="685CB2EB" w14:textId="77777777" w:rsidR="00AB6DDE" w:rsidRPr="0059550D" w:rsidRDefault="00AB6DDE" w:rsidP="00952D33">
            <w:pPr>
              <w:rPr>
                <w:i/>
                <w:lang w:val="en-IE"/>
              </w:rPr>
            </w:pPr>
            <w:r w:rsidRPr="0059550D">
              <w:rPr>
                <w:i/>
                <w:lang w:val="en-IE"/>
              </w:rPr>
              <w:t>Documents Restricted Justification (BT</w:t>
            </w:r>
            <w:r w:rsidRPr="0059550D">
              <w:rPr>
                <w:i/>
                <w:lang w:val="en-IE"/>
              </w:rPr>
              <w:noBreakHyphen/>
              <w:t>707)</w:t>
            </w:r>
          </w:p>
          <w:p w14:paraId="516D1CCC" w14:textId="77777777" w:rsidR="00AB6DDE" w:rsidRPr="0059550D" w:rsidRDefault="00AB6DDE" w:rsidP="00952D33">
            <w:pPr>
              <w:rPr>
                <w:i/>
                <w:lang w:val="en-IE"/>
              </w:rPr>
            </w:pPr>
            <w:r w:rsidRPr="0059550D">
              <w:rPr>
                <w:i/>
                <w:lang w:val="en-IE"/>
              </w:rPr>
              <w:t>&amp;</w:t>
            </w:r>
          </w:p>
          <w:p w14:paraId="4F7D30ED" w14:textId="77777777" w:rsidR="00AB6DDE" w:rsidRPr="0059550D" w:rsidRDefault="00AB6DDE" w:rsidP="00952D33">
            <w:pPr>
              <w:rPr>
                <w:i/>
                <w:lang w:val="en-IE"/>
              </w:rPr>
            </w:pPr>
            <w:r w:rsidRPr="0059550D">
              <w:rPr>
                <w:i/>
                <w:lang w:val="en-IE"/>
              </w:rPr>
              <w:t>Submission Nonelectronic Justification (BT</w:t>
            </w:r>
            <w:r w:rsidRPr="0059550D">
              <w:rPr>
                <w:i/>
                <w:lang w:val="en-IE"/>
              </w:rPr>
              <w:noBreakHyphen/>
              <w:t>19)</w:t>
            </w:r>
          </w:p>
          <w:p w14:paraId="51A126F5" w14:textId="77777777" w:rsidR="00AB6DDE" w:rsidRPr="0059550D" w:rsidRDefault="00AB6DDE" w:rsidP="00952D33">
            <w:pPr>
              <w:rPr>
                <w:i/>
                <w:lang w:val="en-IE"/>
              </w:rPr>
            </w:pPr>
            <w:r w:rsidRPr="0059550D">
              <w:rPr>
                <w:i/>
                <w:lang w:val="en-IE"/>
              </w:rPr>
              <w:t>&amp;</w:t>
            </w:r>
          </w:p>
          <w:p w14:paraId="45D7EB77" w14:textId="77777777" w:rsidR="00AB6DDE" w:rsidRPr="0059550D" w:rsidRDefault="00AB6DDE" w:rsidP="00952D33">
            <w:pPr>
              <w:rPr>
                <w:i/>
                <w:lang w:val="en-IE"/>
              </w:rPr>
            </w:pPr>
            <w:r w:rsidRPr="0059550D">
              <w:rPr>
                <w:i/>
                <w:lang w:val="en-IE"/>
              </w:rPr>
              <w:t>Unpublished Justification Code (BT-197)</w:t>
            </w:r>
          </w:p>
          <w:p w14:paraId="148F38BC" w14:textId="77777777" w:rsidR="00AB6DDE" w:rsidRPr="0059550D" w:rsidRDefault="00AB6DDE" w:rsidP="00952D33">
            <w:pPr>
              <w:rPr>
                <w:i/>
                <w:lang w:val="en-IE"/>
              </w:rPr>
            </w:pPr>
            <w:r w:rsidRPr="0059550D">
              <w:rPr>
                <w:i/>
                <w:lang w:val="en-IE"/>
              </w:rPr>
              <w:t>&amp;</w:t>
            </w:r>
          </w:p>
          <w:p w14:paraId="34DCA21A" w14:textId="77777777" w:rsidR="00AB6DDE" w:rsidRPr="0059550D" w:rsidRDefault="00AB6DDE" w:rsidP="00952D33">
            <w:pPr>
              <w:rPr>
                <w:i/>
                <w:lang w:val="en-IE"/>
              </w:rPr>
            </w:pPr>
            <w:r w:rsidRPr="0059550D">
              <w:rPr>
                <w:i/>
                <w:lang w:val="en-IE"/>
              </w:rPr>
              <w:t xml:space="preserve">Unpublished Justification </w:t>
            </w:r>
            <w:r w:rsidRPr="0059550D">
              <w:rPr>
                <w:i/>
                <w:lang w:val="en-IE"/>
              </w:rPr>
              <w:lastRenderedPageBreak/>
              <w:t>Description (BT</w:t>
            </w:r>
            <w:r w:rsidRPr="0059550D">
              <w:rPr>
                <w:i/>
                <w:lang w:val="en-IE"/>
              </w:rPr>
              <w:noBreakHyphen/>
              <w:t>196)</w:t>
            </w:r>
          </w:p>
          <w:p w14:paraId="2B5185C0" w14:textId="77777777" w:rsidR="00AB6DDE" w:rsidRPr="0059550D" w:rsidRDefault="00AB6DDE" w:rsidP="00952D33">
            <w:pPr>
              <w:rPr>
                <w:i/>
                <w:lang w:val="en-IE"/>
              </w:rPr>
            </w:pPr>
            <w:r w:rsidRPr="0059550D">
              <w:rPr>
                <w:i/>
                <w:lang w:val="en-IE"/>
              </w:rPr>
              <w:t>&amp;</w:t>
            </w:r>
          </w:p>
          <w:p w14:paraId="121A7908" w14:textId="77777777" w:rsidR="00AB6DDE" w:rsidRPr="0059550D" w:rsidRDefault="00AB6DDE" w:rsidP="00952D33">
            <w:pPr>
              <w:rPr>
                <w:i/>
                <w:lang w:val="en-IE"/>
              </w:rPr>
            </w:pPr>
            <w:r w:rsidRPr="0059550D">
              <w:rPr>
                <w:i/>
                <w:lang w:val="en-IE"/>
              </w:rPr>
              <w:t>Accessibility Justification (BT</w:t>
            </w:r>
            <w:r w:rsidRPr="0059550D">
              <w:rPr>
                <w:i/>
                <w:lang w:val="en-IE"/>
              </w:rPr>
              <w:noBreakHyphen/>
              <w:t>755)</w:t>
            </w:r>
          </w:p>
          <w:p w14:paraId="0B291E20" w14:textId="77777777" w:rsidR="00AB6DDE" w:rsidRPr="0059550D" w:rsidRDefault="00AB6DDE" w:rsidP="00952D33">
            <w:pPr>
              <w:rPr>
                <w:i/>
                <w:lang w:val="en-IE"/>
              </w:rPr>
            </w:pPr>
          </w:p>
        </w:tc>
        <w:tc>
          <w:tcPr>
            <w:tcW w:w="892" w:type="pct"/>
            <w:shd w:val="clear" w:color="auto" w:fill="8DB3E2" w:themeFill="text2" w:themeFillTint="66"/>
            <w:vAlign w:val="center"/>
          </w:tcPr>
          <w:p w14:paraId="45E5C589" w14:textId="77777777" w:rsidR="00763AB8" w:rsidRPr="0059550D" w:rsidRDefault="00AB6DDE" w:rsidP="00763AB8">
            <w:pPr>
              <w:rPr>
                <w:lang w:val="en-IE"/>
              </w:rPr>
            </w:pPr>
            <w:r w:rsidRPr="0059550D">
              <w:rPr>
                <w:lang w:val="en-IE"/>
              </w:rPr>
              <w:lastRenderedPageBreak/>
              <w:t xml:space="preserve">“Justification for only </w:t>
            </w:r>
            <w:r w:rsidR="00763AB8" w:rsidRPr="0059550D">
              <w:rPr>
                <w:lang w:val="en-IE"/>
              </w:rPr>
              <w:t xml:space="preserve">Justification for only indicating the award criteria's order of importance, not their weighing.” </w:t>
            </w:r>
          </w:p>
          <w:p w14:paraId="1AD80113" w14:textId="77777777" w:rsidR="00763AB8" w:rsidRPr="0059550D" w:rsidRDefault="00763AB8" w:rsidP="00763AB8">
            <w:pPr>
              <w:rPr>
                <w:lang w:val="en-IE"/>
              </w:rPr>
            </w:pPr>
            <w:r w:rsidRPr="0059550D">
              <w:rPr>
                <w:lang w:val="en-IE"/>
              </w:rPr>
              <w:t>&amp;</w:t>
            </w:r>
          </w:p>
          <w:p w14:paraId="6BADE362" w14:textId="77777777" w:rsidR="00763AB8" w:rsidRPr="0059550D" w:rsidRDefault="00763AB8" w:rsidP="00763AB8">
            <w:pPr>
              <w:rPr>
                <w:lang w:val="en-IE"/>
              </w:rPr>
            </w:pPr>
            <w:r w:rsidRPr="0059550D">
              <w:rPr>
                <w:lang w:val="en-IE"/>
              </w:rPr>
              <w:t>“The justification for restricting access to certain procurement documents.”</w:t>
            </w:r>
          </w:p>
          <w:p w14:paraId="08F90A43" w14:textId="77777777" w:rsidR="00763AB8" w:rsidRPr="0059550D" w:rsidRDefault="00763AB8" w:rsidP="00763AB8">
            <w:pPr>
              <w:rPr>
                <w:lang w:val="en-IE"/>
              </w:rPr>
            </w:pPr>
            <w:r w:rsidRPr="0059550D">
              <w:rPr>
                <w:lang w:val="en-IE"/>
              </w:rPr>
              <w:t>&amp;</w:t>
            </w:r>
          </w:p>
          <w:p w14:paraId="550B4FEE" w14:textId="77777777" w:rsidR="00763AB8" w:rsidRPr="0059550D" w:rsidRDefault="00763AB8" w:rsidP="00763AB8">
            <w:pPr>
              <w:rPr>
                <w:lang w:val="en-IE"/>
              </w:rPr>
            </w:pPr>
            <w:r w:rsidRPr="0059550D">
              <w:rPr>
                <w:lang w:val="en-IE"/>
              </w:rPr>
              <w:t>“Justification for electronic submission of tenders not being possible.”</w:t>
            </w:r>
          </w:p>
          <w:p w14:paraId="2E064204" w14:textId="77777777" w:rsidR="00763AB8" w:rsidRPr="0059550D" w:rsidRDefault="00763AB8" w:rsidP="00763AB8">
            <w:pPr>
              <w:rPr>
                <w:i/>
                <w:lang w:val="en-IE"/>
              </w:rPr>
            </w:pPr>
            <w:r w:rsidRPr="0059550D">
              <w:rPr>
                <w:i/>
                <w:lang w:val="en-IE"/>
              </w:rPr>
              <w:lastRenderedPageBreak/>
              <w:t>&amp;</w:t>
            </w:r>
          </w:p>
          <w:p w14:paraId="411F6427" w14:textId="77777777" w:rsidR="00763AB8" w:rsidRPr="0059550D" w:rsidRDefault="00763AB8" w:rsidP="00763AB8">
            <w:pPr>
              <w:rPr>
                <w:lang w:val="en-IE"/>
              </w:rPr>
            </w:pPr>
            <w:r w:rsidRPr="0059550D">
              <w:rPr>
                <w:lang w:val="en-IE"/>
              </w:rPr>
              <w:t>“Justification for not immediately publishing a field. “</w:t>
            </w:r>
          </w:p>
          <w:p w14:paraId="6C51F7B1" w14:textId="77777777" w:rsidR="00763AB8" w:rsidRPr="0059550D" w:rsidRDefault="00763AB8" w:rsidP="00763AB8">
            <w:pPr>
              <w:rPr>
                <w:i/>
                <w:lang w:val="en-IE"/>
              </w:rPr>
            </w:pPr>
            <w:r w:rsidRPr="0059550D">
              <w:rPr>
                <w:i/>
                <w:lang w:val="en-IE"/>
              </w:rPr>
              <w:t>&amp;</w:t>
            </w:r>
          </w:p>
          <w:p w14:paraId="1F98451A" w14:textId="77777777" w:rsidR="00763AB8" w:rsidRPr="0059550D" w:rsidRDefault="00763AB8" w:rsidP="00763AB8">
            <w:pPr>
              <w:rPr>
                <w:lang w:val="en-IE"/>
              </w:rPr>
            </w:pPr>
            <w:r w:rsidRPr="0059550D">
              <w:rPr>
                <w:lang w:val="en-IE"/>
              </w:rPr>
              <w:t>“Justification for not immediately publishing a field and for the choice of a later date at which it can be published. “</w:t>
            </w:r>
          </w:p>
          <w:p w14:paraId="2F9FBD67" w14:textId="77777777" w:rsidR="00763AB8" w:rsidRPr="0059550D" w:rsidRDefault="00763AB8" w:rsidP="00763AB8">
            <w:pPr>
              <w:rPr>
                <w:lang w:val="en-IE"/>
              </w:rPr>
            </w:pPr>
            <w:r w:rsidRPr="0059550D">
              <w:rPr>
                <w:lang w:val="en-IE"/>
              </w:rPr>
              <w:t>&amp;</w:t>
            </w:r>
          </w:p>
          <w:p w14:paraId="1E31F2C9" w14:textId="77777777" w:rsidR="00763AB8" w:rsidRDefault="00763AB8" w:rsidP="00763AB8">
            <w:r w:rsidRPr="0059550D">
              <w:rPr>
                <w:lang w:val="en-IE"/>
              </w:rPr>
              <w:t>“The justification for not including accessibility criteria even though the procurement is intended for use by natural persons.”</w:t>
            </w:r>
          </w:p>
          <w:p w14:paraId="4375767C" w14:textId="639313C1" w:rsidR="00AB6DDE" w:rsidRPr="0059550D" w:rsidRDefault="00AB6DDE" w:rsidP="00952D33">
            <w:pPr>
              <w:rPr>
                <w:i/>
                <w:lang w:val="en-IE"/>
              </w:rPr>
            </w:pPr>
          </w:p>
        </w:tc>
        <w:tc>
          <w:tcPr>
            <w:tcW w:w="3022" w:type="pct"/>
          </w:tcPr>
          <w:p w14:paraId="62AFB296" w14:textId="74FB15ED" w:rsidR="00AB6DDE" w:rsidRPr="0059550D" w:rsidRDefault="00A1502F" w:rsidP="00AB6DDE">
            <w:pPr>
              <w:rPr>
                <w:b/>
                <w:lang w:val="en-IE"/>
              </w:rPr>
            </w:pPr>
            <w:r>
              <w:rPr>
                <w:b/>
                <w:lang w:val="en-IE"/>
              </w:rPr>
              <w:lastRenderedPageBreak/>
              <w:t>Reasons for Mandatory</w:t>
            </w:r>
          </w:p>
          <w:p w14:paraId="09630F0B" w14:textId="77777777" w:rsidR="00AB6DDE" w:rsidRPr="0059550D" w:rsidRDefault="00AB6DDE" w:rsidP="00AB6DDE">
            <w:pPr>
              <w:rPr>
                <w:rFonts w:cstheme="minorHAnsi"/>
                <w:lang w:val="en-IE"/>
              </w:rPr>
            </w:pPr>
            <w:r w:rsidRPr="0059550D">
              <w:rPr>
                <w:rFonts w:cstheme="minorHAnsi"/>
                <w:lang w:val="en-IE"/>
              </w:rPr>
              <w:t xml:space="preserve">Justification fields reflect cases where the directives require justifications, but do not specify where these justifications should be included. Since justifications should be made in writing (e.g. for audit purposes) and their preparation takes the same effort regardless of where they are published, including them in notices is the most appropriate place. That way they contribute to the transparency of procurement also vis-à-vis businesses and citizens. </w:t>
            </w:r>
          </w:p>
          <w:p w14:paraId="3844D7B6" w14:textId="77777777" w:rsidR="00AB6DDE" w:rsidRPr="0059550D" w:rsidRDefault="00AB6DDE" w:rsidP="00AB6DDE">
            <w:pPr>
              <w:rPr>
                <w:rFonts w:cstheme="minorHAnsi"/>
                <w:lang w:val="en-IE"/>
              </w:rPr>
            </w:pPr>
          </w:p>
          <w:p w14:paraId="44143C3B" w14:textId="77777777" w:rsidR="00AB6DDE" w:rsidRPr="0059550D" w:rsidRDefault="00AB6DDE" w:rsidP="00AB6DDE">
            <w:pPr>
              <w:rPr>
                <w:rFonts w:cstheme="minorHAnsi"/>
                <w:lang w:val="en-IE"/>
              </w:rPr>
            </w:pPr>
            <w:r w:rsidRPr="0059550D">
              <w:rPr>
                <w:rFonts w:cstheme="minorHAnsi"/>
                <w:lang w:val="en-IE"/>
              </w:rPr>
              <w:t>Furthermore, including structured data on justifications allows analysing what are the most common justifications. That brings more transparency to the use of such provisions and helps prevents their misuse.</w:t>
            </w:r>
          </w:p>
          <w:p w14:paraId="5757787A" w14:textId="77777777" w:rsidR="00AB6DDE" w:rsidRPr="0059550D" w:rsidRDefault="00AB6DDE" w:rsidP="00AB6DDE">
            <w:pPr>
              <w:rPr>
                <w:rFonts w:cstheme="minorHAnsi"/>
                <w:lang w:val="en-IE"/>
              </w:rPr>
            </w:pPr>
          </w:p>
          <w:p w14:paraId="51B5C061" w14:textId="275C9651" w:rsidR="00AB6DDE" w:rsidRPr="0059550D" w:rsidRDefault="00AB6DDE" w:rsidP="00AB6DDE">
            <w:pPr>
              <w:rPr>
                <w:rFonts w:cstheme="minorHAnsi"/>
                <w:lang w:val="en-IE"/>
              </w:rPr>
            </w:pPr>
            <w:r w:rsidRPr="0059550D">
              <w:rPr>
                <w:rFonts w:cstheme="minorHAnsi"/>
                <w:lang w:val="en-IE"/>
              </w:rPr>
              <w:t>The justifications need to be implemented as mandatory under a certain condition (e.g. justification for non-electronic submission should be mandatory only if electronic submission is not allowed in the procedure), see discussion in</w:t>
            </w:r>
            <w:r w:rsidR="008A00AE">
              <w:rPr>
                <w:rFonts w:cstheme="minorHAnsi"/>
                <w:lang w:val="en-IE"/>
              </w:rPr>
              <w:t xml:space="preserve"> section 3.8.</w:t>
            </w:r>
            <w:r w:rsidRPr="0059550D">
              <w:rPr>
                <w:rFonts w:cstheme="minorHAnsi"/>
                <w:lang w:val="en-IE"/>
              </w:rPr>
              <w:t xml:space="preserve"> Tailoring Business Rules. </w:t>
            </w:r>
          </w:p>
          <w:p w14:paraId="44A21DD5" w14:textId="77777777" w:rsidR="00AB6DDE" w:rsidRPr="0059550D" w:rsidRDefault="00AB6DDE" w:rsidP="00AB6DDE">
            <w:pPr>
              <w:rPr>
                <w:b/>
                <w:lang w:val="en-IE"/>
              </w:rPr>
            </w:pPr>
          </w:p>
          <w:p w14:paraId="1A5F50FE" w14:textId="77777777" w:rsidR="00AB6DDE" w:rsidRPr="0059550D" w:rsidRDefault="00AB6DDE" w:rsidP="00AB6DDE">
            <w:pPr>
              <w:rPr>
                <w:iCs/>
                <w:szCs w:val="24"/>
                <w:lang w:val="en-IE" w:eastAsia="en-GB"/>
              </w:rPr>
            </w:pPr>
            <w:r w:rsidRPr="0059550D">
              <w:rPr>
                <w:b/>
                <w:lang w:val="en-IE"/>
              </w:rPr>
              <w:lastRenderedPageBreak/>
              <w:t>Reasons for Optional</w:t>
            </w:r>
          </w:p>
          <w:p w14:paraId="55B2E73B" w14:textId="77777777" w:rsidR="00AB6DDE" w:rsidRPr="0059550D" w:rsidRDefault="00AB6DDE" w:rsidP="00AB6DDE">
            <w:pPr>
              <w:rPr>
                <w:iCs/>
                <w:szCs w:val="24"/>
                <w:lang w:val="en-IE" w:eastAsia="en-GB"/>
              </w:rPr>
            </w:pPr>
            <w:r w:rsidRPr="0059550D">
              <w:rPr>
                <w:iCs/>
                <w:szCs w:val="24"/>
                <w:lang w:val="en-IE" w:eastAsia="en-GB"/>
              </w:rPr>
              <w:t>None.</w:t>
            </w:r>
          </w:p>
          <w:p w14:paraId="4B5D9CCC" w14:textId="77777777" w:rsidR="00AB6DDE" w:rsidRPr="0059550D" w:rsidRDefault="00AB6DDE" w:rsidP="00AB6DDE">
            <w:pPr>
              <w:rPr>
                <w:iCs/>
                <w:szCs w:val="24"/>
                <w:lang w:val="en-IE" w:eastAsia="en-GB"/>
              </w:rPr>
            </w:pPr>
          </w:p>
          <w:p w14:paraId="61551A32" w14:textId="77777777" w:rsidR="00AB6DDE" w:rsidRPr="0059550D" w:rsidRDefault="00AB6DDE" w:rsidP="00AB6DDE">
            <w:pPr>
              <w:rPr>
                <w:b/>
                <w:lang w:val="en-IE"/>
              </w:rPr>
            </w:pPr>
            <w:r w:rsidRPr="0059550D">
              <w:rPr>
                <w:b/>
                <w:lang w:val="en-IE"/>
              </w:rPr>
              <w:t>Reasons for Unused</w:t>
            </w:r>
          </w:p>
          <w:p w14:paraId="4625382A" w14:textId="77777777" w:rsidR="005949D6" w:rsidRDefault="00AB6DDE" w:rsidP="00AB6DDE">
            <w:pPr>
              <w:rPr>
                <w:lang w:val="en-IE"/>
              </w:rPr>
            </w:pPr>
            <w:r w:rsidRPr="0059550D">
              <w:rPr>
                <w:lang w:val="en-IE"/>
              </w:rPr>
              <w:t xml:space="preserve">In many countries, some of the provisions that must be justified are instead not used at all. In such cases, the justifications themselves can be removed. </w:t>
            </w:r>
          </w:p>
          <w:p w14:paraId="15350D1E" w14:textId="77777777" w:rsidR="005949D6" w:rsidRDefault="005949D6" w:rsidP="00AB6DDE">
            <w:pPr>
              <w:rPr>
                <w:lang w:val="en-IE"/>
              </w:rPr>
            </w:pPr>
          </w:p>
          <w:p w14:paraId="0C4F4A1E" w14:textId="1EAC6C57" w:rsidR="00AB6DDE" w:rsidRPr="00B43276" w:rsidRDefault="00AB6DDE" w:rsidP="009E2F15">
            <w:pPr>
              <w:rPr>
                <w:iCs/>
                <w:szCs w:val="24"/>
                <w:lang w:val="en-IE" w:eastAsia="en-GB"/>
              </w:rPr>
            </w:pPr>
            <w:r w:rsidRPr="0059550D">
              <w:rPr>
                <w:lang w:val="en-IE"/>
              </w:rPr>
              <w:t>This is the case, for example, for BT-</w:t>
            </w:r>
            <w:r w:rsidR="00A41894">
              <w:rPr>
                <w:lang w:val="en-IE"/>
              </w:rPr>
              <w:t>733 (see the discussion in the appropriate codelist</w:t>
            </w:r>
            <w:r w:rsidRPr="0059550D">
              <w:rPr>
                <w:lang w:val="en-IE"/>
              </w:rPr>
              <w:t>),</w:t>
            </w:r>
            <w:r w:rsidR="005949D6" w:rsidRPr="005949D6">
              <w:rPr>
                <w:lang w:val="en-IE"/>
              </w:rPr>
              <w:t xml:space="preserve"> </w:t>
            </w:r>
            <w:r w:rsidRPr="005949D6">
              <w:rPr>
                <w:lang w:val="en-IE"/>
              </w:rPr>
              <w:t>BT-196</w:t>
            </w:r>
            <w:r w:rsidRPr="0059550D">
              <w:rPr>
                <w:b/>
                <w:lang w:val="en-IE"/>
              </w:rPr>
              <w:t xml:space="preserve"> </w:t>
            </w:r>
            <w:r w:rsidR="005949D6" w:rsidRPr="005949D6">
              <w:rPr>
                <w:lang w:val="en-IE"/>
              </w:rPr>
              <w:t>(i</w:t>
            </w:r>
            <w:r w:rsidRPr="005949D6">
              <w:rPr>
                <w:iCs/>
                <w:szCs w:val="24"/>
                <w:lang w:val="en-IE" w:eastAsia="en-GB"/>
              </w:rPr>
              <w:t>f</w:t>
            </w:r>
            <w:r w:rsidRPr="0059550D">
              <w:rPr>
                <w:iCs/>
                <w:szCs w:val="24"/>
                <w:lang w:val="en-IE" w:eastAsia="en-GB"/>
              </w:rPr>
              <w:t xml:space="preserve"> non</w:t>
            </w:r>
            <w:r w:rsidR="005949D6">
              <w:rPr>
                <w:iCs/>
                <w:szCs w:val="24"/>
                <w:lang w:val="en-IE" w:eastAsia="en-GB"/>
              </w:rPr>
              <w:t>-publication is not used at all).</w:t>
            </w:r>
            <w:r w:rsidRPr="0059550D">
              <w:rPr>
                <w:iCs/>
                <w:szCs w:val="24"/>
                <w:lang w:val="en-IE" w:eastAsia="en-GB"/>
              </w:rPr>
              <w:t xml:space="preserve"> Similarly, if Accessibility (BT-754) is not used, then Accessibility Justification (BT-755) is not used either. </w:t>
            </w:r>
          </w:p>
        </w:tc>
      </w:tr>
      <w:tr w:rsidR="00D357BA" w:rsidRPr="0059550D" w14:paraId="1B98DDFB" w14:textId="77777777" w:rsidTr="008D6040">
        <w:tc>
          <w:tcPr>
            <w:tcW w:w="263" w:type="pct"/>
            <w:shd w:val="clear" w:color="auto" w:fill="8DB3E2" w:themeFill="text2" w:themeFillTint="66"/>
            <w:vAlign w:val="center"/>
          </w:tcPr>
          <w:p w14:paraId="7A5A8E49" w14:textId="34D9A49F" w:rsidR="00D357BA" w:rsidRPr="0059550D" w:rsidRDefault="00832D5D" w:rsidP="00AB6DDE">
            <w:pPr>
              <w:jc w:val="center"/>
              <w:rPr>
                <w:i/>
                <w:lang w:val="en-IE"/>
              </w:rPr>
            </w:pPr>
            <w:r>
              <w:rPr>
                <w:i/>
                <w:lang w:val="en-IE"/>
              </w:rPr>
              <w:lastRenderedPageBreak/>
              <w:t>16</w:t>
            </w:r>
          </w:p>
        </w:tc>
        <w:tc>
          <w:tcPr>
            <w:tcW w:w="823" w:type="pct"/>
            <w:shd w:val="clear" w:color="auto" w:fill="8DB3E2" w:themeFill="text2" w:themeFillTint="66"/>
            <w:vAlign w:val="center"/>
          </w:tcPr>
          <w:p w14:paraId="7F118C43" w14:textId="06AD4531" w:rsidR="00D357BA" w:rsidRPr="0059550D" w:rsidRDefault="00D357BA" w:rsidP="00952D33">
            <w:pPr>
              <w:rPr>
                <w:i/>
                <w:lang w:val="en-IE"/>
              </w:rPr>
            </w:pPr>
            <w:r w:rsidRPr="0059550D">
              <w:rPr>
                <w:i/>
                <w:lang w:val="en-IE"/>
              </w:rPr>
              <w:t xml:space="preserve">Framework Buyer Categories </w:t>
            </w:r>
            <w:r w:rsidRPr="0059550D">
              <w:rPr>
                <w:i/>
                <w:lang w:val="en-IE"/>
              </w:rPr>
              <w:br/>
              <w:t xml:space="preserve">(BT-111) </w:t>
            </w:r>
          </w:p>
        </w:tc>
        <w:tc>
          <w:tcPr>
            <w:tcW w:w="892" w:type="pct"/>
            <w:shd w:val="clear" w:color="auto" w:fill="8DB3E2" w:themeFill="text2" w:themeFillTint="66"/>
            <w:vAlign w:val="center"/>
          </w:tcPr>
          <w:p w14:paraId="5F3EEF62" w14:textId="334FAC33" w:rsidR="00D357BA" w:rsidRPr="0059550D" w:rsidRDefault="00D357BA" w:rsidP="00952D33">
            <w:pPr>
              <w:rPr>
                <w:lang w:val="en-IE"/>
              </w:rPr>
            </w:pPr>
            <w:r w:rsidRPr="0059550D">
              <w:rPr>
                <w:lang w:val="en-IE"/>
              </w:rPr>
              <w:t>“Any additional categories of buyers participating in the framework agreement and not mentioned by name (e.g. "all hospitals in the Tuscany region").”</w:t>
            </w:r>
          </w:p>
        </w:tc>
        <w:tc>
          <w:tcPr>
            <w:tcW w:w="3022" w:type="pct"/>
          </w:tcPr>
          <w:p w14:paraId="47E7C2A2" w14:textId="77777777" w:rsidR="00D357BA" w:rsidRPr="0059550D" w:rsidRDefault="004C102A" w:rsidP="00AB6DDE">
            <w:pPr>
              <w:rPr>
                <w:b/>
                <w:lang w:val="en-IE"/>
              </w:rPr>
            </w:pPr>
            <w:r w:rsidRPr="0059550D">
              <w:rPr>
                <w:b/>
                <w:lang w:val="en-IE"/>
              </w:rPr>
              <w:t>Reasons for Mandatory</w:t>
            </w:r>
          </w:p>
          <w:p w14:paraId="4C149B89" w14:textId="77777777" w:rsidR="004C102A" w:rsidRPr="0059550D" w:rsidRDefault="004C102A" w:rsidP="00AB6DDE">
            <w:pPr>
              <w:rPr>
                <w:lang w:val="en-IE"/>
              </w:rPr>
            </w:pPr>
            <w:r w:rsidRPr="0059550D">
              <w:rPr>
                <w:lang w:val="en-IE"/>
              </w:rPr>
              <w:t>None.</w:t>
            </w:r>
          </w:p>
          <w:p w14:paraId="1A77ECD7" w14:textId="77777777" w:rsidR="004C102A" w:rsidRPr="0059550D" w:rsidRDefault="004C102A" w:rsidP="00AB6DDE">
            <w:pPr>
              <w:rPr>
                <w:lang w:val="en-IE"/>
              </w:rPr>
            </w:pPr>
          </w:p>
          <w:p w14:paraId="175FFBAE" w14:textId="702E8B69" w:rsidR="004C102A" w:rsidRPr="0059550D" w:rsidRDefault="004C102A" w:rsidP="00AB6DDE">
            <w:pPr>
              <w:rPr>
                <w:b/>
                <w:lang w:val="en-IE"/>
              </w:rPr>
            </w:pPr>
            <w:r w:rsidRPr="0059550D">
              <w:rPr>
                <w:b/>
                <w:lang w:val="en-IE"/>
              </w:rPr>
              <w:t>Reasons for Optional</w:t>
            </w:r>
          </w:p>
          <w:p w14:paraId="4FA489CF" w14:textId="4F592573" w:rsidR="004C102A" w:rsidRPr="0059550D" w:rsidRDefault="004C102A" w:rsidP="00AB6DDE">
            <w:pPr>
              <w:rPr>
                <w:lang w:val="en-IE"/>
              </w:rPr>
            </w:pPr>
            <w:r w:rsidRPr="0059550D">
              <w:rPr>
                <w:lang w:val="en-IE"/>
              </w:rPr>
              <w:t>The directives</w:t>
            </w:r>
            <w:r w:rsidRPr="0059550D">
              <w:rPr>
                <w:rStyle w:val="FootnoteReference"/>
                <w:lang w:val="en-IE"/>
              </w:rPr>
              <w:footnoteReference w:id="85"/>
            </w:r>
            <w:r w:rsidRPr="0059550D">
              <w:rPr>
                <w:lang w:val="en-IE"/>
              </w:rPr>
              <w:t xml:space="preserve"> require that all buyers concluding a framework agreement must be clearly identified. This indication can either be done per individual organisation (using BG-703 (Organisation)) or, on a more general basis, in BT-111 by describing the buyer category. Such an approach is useful if, for example, there are many buyers participating in a framework (e.g. large framework agreements led by central purchasing bodies) and the eProcurement systems does not have any functionalities that would allow easily adding of a large number </w:t>
            </w:r>
            <w:r w:rsidRPr="0059550D">
              <w:rPr>
                <w:lang w:val="en-IE"/>
              </w:rPr>
              <w:lastRenderedPageBreak/>
              <w:t xml:space="preserve">of organisations. </w:t>
            </w:r>
          </w:p>
          <w:p w14:paraId="416E8CF0" w14:textId="77777777" w:rsidR="004C102A" w:rsidRPr="0059550D" w:rsidRDefault="004C102A" w:rsidP="00AB6DDE">
            <w:pPr>
              <w:rPr>
                <w:b/>
                <w:lang w:val="en-IE"/>
              </w:rPr>
            </w:pPr>
          </w:p>
          <w:p w14:paraId="6CD57E0C" w14:textId="77777777" w:rsidR="004C102A" w:rsidRPr="0059550D" w:rsidRDefault="004C102A" w:rsidP="00AB6DDE">
            <w:pPr>
              <w:rPr>
                <w:b/>
                <w:lang w:val="en-IE"/>
              </w:rPr>
            </w:pPr>
          </w:p>
          <w:p w14:paraId="5142EE57" w14:textId="00DD4921" w:rsidR="004C102A" w:rsidRPr="0059550D" w:rsidRDefault="004C102A" w:rsidP="00AB6DDE">
            <w:pPr>
              <w:rPr>
                <w:b/>
                <w:lang w:val="en-IE"/>
              </w:rPr>
            </w:pPr>
            <w:r w:rsidRPr="0059550D">
              <w:rPr>
                <w:b/>
                <w:lang w:val="en-IE"/>
              </w:rPr>
              <w:t>Reasons for Unused</w:t>
            </w:r>
          </w:p>
          <w:p w14:paraId="0C7264FC" w14:textId="34E5DB39" w:rsidR="004C102A" w:rsidRPr="0059550D" w:rsidRDefault="004C102A" w:rsidP="004C102A">
            <w:pPr>
              <w:rPr>
                <w:b/>
                <w:lang w:val="en-IE"/>
              </w:rPr>
            </w:pPr>
            <w:r w:rsidRPr="0059550D">
              <w:rPr>
                <w:lang w:val="en-IE"/>
              </w:rPr>
              <w:t xml:space="preserve">This field is not useful if the users do not conclude large framework agreements; or if the eProcurement system allow automatically adding large numbers of organisations (e.g. based on lists coming from the business registries; or by uploading spreadsheets with organisation information). </w:t>
            </w:r>
          </w:p>
        </w:tc>
      </w:tr>
      <w:tr w:rsidR="00AB6DDE" w:rsidRPr="0059550D" w14:paraId="336B2173" w14:textId="77777777" w:rsidTr="008D6040">
        <w:tc>
          <w:tcPr>
            <w:tcW w:w="263" w:type="pct"/>
            <w:shd w:val="clear" w:color="auto" w:fill="8DB3E2" w:themeFill="text2" w:themeFillTint="66"/>
            <w:vAlign w:val="center"/>
          </w:tcPr>
          <w:p w14:paraId="78CB26C2" w14:textId="25FF6829" w:rsidR="00AB6DDE" w:rsidRPr="0059550D" w:rsidRDefault="00832D5D" w:rsidP="00AB6DDE">
            <w:pPr>
              <w:jc w:val="center"/>
              <w:rPr>
                <w:lang w:val="en-IE"/>
              </w:rPr>
            </w:pPr>
            <w:r>
              <w:rPr>
                <w:lang w:val="en-IE"/>
              </w:rPr>
              <w:lastRenderedPageBreak/>
              <w:t>17</w:t>
            </w:r>
          </w:p>
        </w:tc>
        <w:tc>
          <w:tcPr>
            <w:tcW w:w="823" w:type="pct"/>
            <w:shd w:val="clear" w:color="auto" w:fill="8DB3E2" w:themeFill="text2" w:themeFillTint="66"/>
            <w:vAlign w:val="center"/>
          </w:tcPr>
          <w:p w14:paraId="38782A8B" w14:textId="168B4B0E" w:rsidR="00AB6DDE" w:rsidRPr="0059550D" w:rsidRDefault="00AB6DDE" w:rsidP="00952D33">
            <w:pPr>
              <w:rPr>
                <w:lang w:val="en-IE"/>
              </w:rPr>
            </w:pPr>
            <w:r w:rsidRPr="0059550D">
              <w:rPr>
                <w:lang w:val="en-IE"/>
              </w:rPr>
              <w:t>Tool Name (BT-632)</w:t>
            </w:r>
          </w:p>
        </w:tc>
        <w:tc>
          <w:tcPr>
            <w:tcW w:w="892" w:type="pct"/>
            <w:shd w:val="clear" w:color="auto" w:fill="8DB3E2" w:themeFill="text2" w:themeFillTint="66"/>
            <w:vAlign w:val="center"/>
          </w:tcPr>
          <w:p w14:paraId="7504DC7A" w14:textId="7BED6F3F" w:rsidR="00AB6DDE" w:rsidRPr="0059550D" w:rsidRDefault="00AB6DDE" w:rsidP="00952D33">
            <w:pPr>
              <w:rPr>
                <w:lang w:val="en-IE"/>
              </w:rPr>
            </w:pPr>
            <w:r w:rsidRPr="0059550D">
              <w:rPr>
                <w:lang w:val="en-IE"/>
              </w:rPr>
              <w:t>The name of the electronic tool or device used for electronic communication.</w:t>
            </w:r>
          </w:p>
        </w:tc>
        <w:tc>
          <w:tcPr>
            <w:tcW w:w="3022" w:type="pct"/>
          </w:tcPr>
          <w:p w14:paraId="5ED1B0AE" w14:textId="3F422416" w:rsidR="00AB6DDE" w:rsidRPr="0059550D" w:rsidRDefault="00AB6DDE" w:rsidP="00AB6DDE">
            <w:pPr>
              <w:rPr>
                <w:szCs w:val="24"/>
                <w:lang w:val="en-IE"/>
              </w:rPr>
            </w:pPr>
            <w:r w:rsidRPr="0059550D">
              <w:rPr>
                <w:b/>
                <w:lang w:val="en-IE"/>
              </w:rPr>
              <w:t>Reasons for Mandatory</w:t>
            </w:r>
            <w:r w:rsidR="001A189A" w:rsidRPr="0059550D">
              <w:rPr>
                <w:b/>
                <w:lang w:val="en-IE"/>
              </w:rPr>
              <w:t xml:space="preserve"> or Optional</w:t>
            </w:r>
          </w:p>
          <w:p w14:paraId="2D73F986" w14:textId="15B881D6" w:rsidR="00AB6DDE" w:rsidRPr="0059550D" w:rsidRDefault="001A189A" w:rsidP="00AB6DDE">
            <w:pPr>
              <w:rPr>
                <w:iCs/>
                <w:szCs w:val="24"/>
                <w:lang w:val="en-IE" w:eastAsia="en-GB"/>
              </w:rPr>
            </w:pPr>
            <w:r w:rsidRPr="0059550D">
              <w:rPr>
                <w:iCs/>
                <w:szCs w:val="24"/>
                <w:lang w:val="en-IE" w:eastAsia="en-GB"/>
              </w:rPr>
              <w:t>The f</w:t>
            </w:r>
            <w:r w:rsidR="00323F63">
              <w:rPr>
                <w:iCs/>
                <w:szCs w:val="24"/>
                <w:lang w:val="en-IE" w:eastAsia="en-GB"/>
              </w:rPr>
              <w:t>ield</w:t>
            </w:r>
            <w:r w:rsidRPr="0059550D">
              <w:rPr>
                <w:iCs/>
                <w:szCs w:val="24"/>
                <w:lang w:val="en-IE" w:eastAsia="en-GB"/>
              </w:rPr>
              <w:t xml:space="preserve"> is used in some countries to identify the e-procurement tools used. If not covered by other fields (e.g. Documents URL BT-15 and Submission URL BT-18) it may be useful for economic operators, otherwise it can also be used for statistics on the structure of the eTendering market.</w:t>
            </w:r>
          </w:p>
          <w:p w14:paraId="10BBB188" w14:textId="77777777" w:rsidR="00AB6DDE" w:rsidRPr="0059550D" w:rsidRDefault="00AB6DDE" w:rsidP="00AB6DDE">
            <w:pPr>
              <w:rPr>
                <w:iCs/>
                <w:szCs w:val="24"/>
                <w:lang w:val="en-IE" w:eastAsia="en-GB"/>
              </w:rPr>
            </w:pPr>
          </w:p>
          <w:p w14:paraId="0B967691" w14:textId="77777777" w:rsidR="00AB6DDE" w:rsidRPr="0059550D" w:rsidRDefault="00AB6DDE" w:rsidP="00AB6DDE">
            <w:pPr>
              <w:rPr>
                <w:iCs/>
                <w:szCs w:val="24"/>
                <w:lang w:val="en-IE" w:eastAsia="en-GB"/>
              </w:rPr>
            </w:pPr>
            <w:r w:rsidRPr="0059550D">
              <w:rPr>
                <w:b/>
                <w:lang w:val="en-IE"/>
              </w:rPr>
              <w:t>Reasons for Unused</w:t>
            </w:r>
          </w:p>
          <w:p w14:paraId="568B272F" w14:textId="253B5458" w:rsidR="00AB6DDE" w:rsidRPr="0059550D" w:rsidRDefault="001A189A" w:rsidP="001A189A">
            <w:pPr>
              <w:rPr>
                <w:b/>
                <w:lang w:val="en-IE"/>
              </w:rPr>
            </w:pPr>
            <w:r w:rsidRPr="0059550D">
              <w:rPr>
                <w:iCs/>
                <w:szCs w:val="24"/>
                <w:lang w:val="en-IE" w:eastAsia="en-GB"/>
              </w:rPr>
              <w:t>The field may n</w:t>
            </w:r>
            <w:r w:rsidR="00347299">
              <w:rPr>
                <w:iCs/>
                <w:szCs w:val="24"/>
                <w:lang w:val="en-IE" w:eastAsia="en-GB"/>
              </w:rPr>
              <w:t>ot be necessary, in particular,</w:t>
            </w:r>
            <w:r w:rsidRPr="0059550D">
              <w:rPr>
                <w:iCs/>
                <w:szCs w:val="24"/>
                <w:lang w:val="en-IE" w:eastAsia="en-GB"/>
              </w:rPr>
              <w:t xml:space="preserve"> if the same role is played by Documents URL BT-15 and Submission URL BT-18. </w:t>
            </w:r>
          </w:p>
        </w:tc>
      </w:tr>
      <w:tr w:rsidR="00AB6DDE" w:rsidRPr="0059550D" w14:paraId="713404CB" w14:textId="77777777" w:rsidTr="008D6040">
        <w:tc>
          <w:tcPr>
            <w:tcW w:w="263" w:type="pct"/>
            <w:shd w:val="clear" w:color="auto" w:fill="8DB3E2" w:themeFill="text2" w:themeFillTint="66"/>
            <w:vAlign w:val="center"/>
          </w:tcPr>
          <w:p w14:paraId="63121752" w14:textId="524BB25A" w:rsidR="00AB6DDE" w:rsidRPr="0059550D" w:rsidRDefault="00AB6DDE" w:rsidP="00AB6DDE">
            <w:pPr>
              <w:jc w:val="center"/>
              <w:rPr>
                <w:i/>
                <w:lang w:val="en-IE"/>
              </w:rPr>
            </w:pPr>
            <w:r w:rsidRPr="0059550D">
              <w:rPr>
                <w:i/>
                <w:lang w:val="en-IE"/>
              </w:rPr>
              <w:t>1</w:t>
            </w:r>
            <w:r w:rsidR="00832D5D">
              <w:rPr>
                <w:i/>
                <w:lang w:val="en-IE"/>
              </w:rPr>
              <w:t>8</w:t>
            </w:r>
          </w:p>
        </w:tc>
        <w:tc>
          <w:tcPr>
            <w:tcW w:w="823" w:type="pct"/>
            <w:shd w:val="clear" w:color="auto" w:fill="8DB3E2" w:themeFill="text2" w:themeFillTint="66"/>
            <w:vAlign w:val="center"/>
          </w:tcPr>
          <w:p w14:paraId="5F4EFC94" w14:textId="16A3AB85" w:rsidR="00AB6DDE" w:rsidRPr="00A443B5" w:rsidRDefault="00AB6DDE" w:rsidP="00952D33">
            <w:pPr>
              <w:rPr>
                <w:i/>
                <w:lang w:val="fr-BE"/>
              </w:rPr>
            </w:pPr>
            <w:r w:rsidRPr="00A443B5">
              <w:rPr>
                <w:i/>
                <w:lang w:val="fr-BE"/>
              </w:rPr>
              <w:t>Procurement Document (BG-101)</w:t>
            </w:r>
            <w:r w:rsidR="00214E6E" w:rsidRPr="00A443B5">
              <w:rPr>
                <w:i/>
                <w:lang w:val="fr-BE"/>
              </w:rPr>
              <w:br/>
            </w:r>
            <w:r w:rsidR="00214E6E" w:rsidRPr="00A443B5">
              <w:rPr>
                <w:i/>
                <w:lang w:val="fr-BE"/>
              </w:rPr>
              <w:br/>
              <w:t>(</w:t>
            </w:r>
            <w:r w:rsidRPr="00A443B5">
              <w:rPr>
                <w:i/>
                <w:lang w:val="fr-BE"/>
              </w:rPr>
              <w:t xml:space="preserve">in particular </w:t>
            </w:r>
          </w:p>
          <w:p w14:paraId="4FDF0108" w14:textId="629DEB0B" w:rsidR="00AB6DDE" w:rsidRPr="00A443B5" w:rsidRDefault="00AB6DDE" w:rsidP="00952D33">
            <w:pPr>
              <w:rPr>
                <w:i/>
                <w:lang w:val="fr-BE"/>
              </w:rPr>
            </w:pPr>
            <w:r w:rsidRPr="00A443B5">
              <w:rPr>
                <w:i/>
                <w:lang w:val="fr-BE"/>
              </w:rPr>
              <w:t>Documents URL (BT-15)</w:t>
            </w:r>
          </w:p>
          <w:p w14:paraId="1D5F3BE1" w14:textId="7EFA54FE" w:rsidR="00AB6DDE" w:rsidRPr="0059550D" w:rsidRDefault="00AB6DDE" w:rsidP="00952D33">
            <w:pPr>
              <w:rPr>
                <w:i/>
                <w:lang w:val="en-IE"/>
              </w:rPr>
            </w:pPr>
            <w:r w:rsidRPr="0059550D">
              <w:rPr>
                <w:i/>
                <w:lang w:val="en-IE"/>
              </w:rPr>
              <w:t>&amp;</w:t>
            </w:r>
            <w:r w:rsidR="00214E6E" w:rsidRPr="0059550D">
              <w:rPr>
                <w:i/>
                <w:lang w:val="en-IE"/>
              </w:rPr>
              <w:t xml:space="preserve"> </w:t>
            </w:r>
            <w:r w:rsidRPr="0059550D">
              <w:rPr>
                <w:i/>
                <w:lang w:val="en-IE"/>
              </w:rPr>
              <w:t>Documents Restricted (BT-14)</w:t>
            </w:r>
            <w:r w:rsidR="00214E6E" w:rsidRPr="0059550D">
              <w:rPr>
                <w:i/>
                <w:lang w:val="en-IE"/>
              </w:rPr>
              <w:t xml:space="preserve"> </w:t>
            </w:r>
            <w:r w:rsidRPr="0059550D">
              <w:rPr>
                <w:i/>
                <w:lang w:val="en-IE"/>
              </w:rPr>
              <w:t>&amp;</w:t>
            </w:r>
            <w:r w:rsidR="00214E6E" w:rsidRPr="0059550D">
              <w:rPr>
                <w:i/>
                <w:lang w:val="en-IE"/>
              </w:rPr>
              <w:t xml:space="preserve"> </w:t>
            </w:r>
            <w:r w:rsidRPr="0059550D">
              <w:rPr>
                <w:i/>
                <w:lang w:val="en-IE"/>
              </w:rPr>
              <w:t>Documents Restricted URL (BT-615)</w:t>
            </w:r>
            <w:r w:rsidR="00214E6E" w:rsidRPr="0059550D">
              <w:rPr>
                <w:i/>
                <w:lang w:val="en-IE"/>
              </w:rPr>
              <w:t xml:space="preserve"> )</w:t>
            </w:r>
          </w:p>
          <w:p w14:paraId="0056CDCF" w14:textId="724F90F6" w:rsidR="00AB6DDE" w:rsidRPr="0059550D" w:rsidRDefault="00AB6DDE" w:rsidP="00952D33">
            <w:pPr>
              <w:rPr>
                <w:lang w:val="en-IE"/>
              </w:rPr>
            </w:pPr>
          </w:p>
        </w:tc>
        <w:tc>
          <w:tcPr>
            <w:tcW w:w="892" w:type="pct"/>
            <w:shd w:val="clear" w:color="auto" w:fill="8DB3E2" w:themeFill="text2" w:themeFillTint="66"/>
            <w:vAlign w:val="center"/>
          </w:tcPr>
          <w:p w14:paraId="723AC193" w14:textId="77777777" w:rsidR="00AB6DDE" w:rsidRPr="0059550D" w:rsidRDefault="00AB6DDE" w:rsidP="00952D33">
            <w:pPr>
              <w:rPr>
                <w:i/>
                <w:lang w:val="en-IE"/>
              </w:rPr>
            </w:pPr>
            <w:r w:rsidRPr="0059550D">
              <w:rPr>
                <w:i/>
                <w:lang w:val="en-IE"/>
              </w:rPr>
              <w:t xml:space="preserve">Information about the procurement documents. </w:t>
            </w:r>
          </w:p>
          <w:p w14:paraId="1D223340" w14:textId="77777777" w:rsidR="00AB6DDE" w:rsidRPr="0059550D" w:rsidRDefault="00AB6DDE" w:rsidP="00952D33">
            <w:pPr>
              <w:rPr>
                <w:lang w:val="en-IE"/>
              </w:rPr>
            </w:pPr>
          </w:p>
        </w:tc>
        <w:tc>
          <w:tcPr>
            <w:tcW w:w="3022" w:type="pct"/>
          </w:tcPr>
          <w:p w14:paraId="3241B183" w14:textId="77777777" w:rsidR="00AB6DDE" w:rsidRPr="0059550D" w:rsidRDefault="00AB6DDE" w:rsidP="00AB6DDE">
            <w:pPr>
              <w:rPr>
                <w:szCs w:val="24"/>
                <w:lang w:val="en-IE"/>
              </w:rPr>
            </w:pPr>
            <w:r w:rsidRPr="0059550D">
              <w:rPr>
                <w:b/>
                <w:lang w:val="en-IE"/>
              </w:rPr>
              <w:t>Reasons for Mandatory</w:t>
            </w:r>
          </w:p>
          <w:p w14:paraId="0240120E" w14:textId="3AE7C88D" w:rsidR="00AB6DDE" w:rsidRPr="0059550D" w:rsidRDefault="00AB6DDE" w:rsidP="00AB6DDE">
            <w:pPr>
              <w:rPr>
                <w:lang w:val="en-IE"/>
              </w:rPr>
            </w:pPr>
            <w:r w:rsidRPr="0059550D">
              <w:rPr>
                <w:lang w:val="en-IE"/>
              </w:rPr>
              <w:t>The defence directive and the other directives in case of the light regime do not require publishing electronic procurement documents. Consequently, fields on this subject are optional in the eForms Implementing Regulation. If publishing electronic procurement documents is mandatory in a given country also for procedures falling under the defence directive or the light regime, then making this field mandatory in such cases ensures that companies can easily find the procurement documents.</w:t>
            </w:r>
          </w:p>
          <w:p w14:paraId="075DB1B9" w14:textId="77777777" w:rsidR="00AB6DDE" w:rsidRPr="0059550D" w:rsidRDefault="00AB6DDE" w:rsidP="00AB6DDE">
            <w:pPr>
              <w:rPr>
                <w:b/>
                <w:lang w:val="en-IE"/>
              </w:rPr>
            </w:pPr>
          </w:p>
          <w:p w14:paraId="44C96040" w14:textId="6B54B8AB" w:rsidR="00AB6DDE" w:rsidRPr="0059550D" w:rsidRDefault="00AB6DDE" w:rsidP="00AB6DDE">
            <w:pPr>
              <w:rPr>
                <w:b/>
                <w:lang w:val="en-IE"/>
              </w:rPr>
            </w:pPr>
            <w:r w:rsidRPr="0059550D">
              <w:rPr>
                <w:b/>
                <w:lang w:val="en-IE"/>
              </w:rPr>
              <w:t>Reasons for Optional</w:t>
            </w:r>
          </w:p>
          <w:p w14:paraId="2C3D7B19" w14:textId="0C3772BF" w:rsidR="00AB6DDE" w:rsidRPr="0059550D" w:rsidRDefault="00AB6DDE" w:rsidP="00AB6DDE">
            <w:pPr>
              <w:rPr>
                <w:lang w:val="en-IE"/>
              </w:rPr>
            </w:pPr>
            <w:r w:rsidRPr="0059550D">
              <w:rPr>
                <w:lang w:val="en-IE"/>
              </w:rPr>
              <w:t xml:space="preserve">The field should be optional if it is not mandatory to publish procurement documents for procedures falling under the defence directive and the light regime electronically. </w:t>
            </w:r>
          </w:p>
          <w:p w14:paraId="02D7800C" w14:textId="77777777" w:rsidR="00AB6DDE" w:rsidRPr="0059550D" w:rsidRDefault="00AB6DDE" w:rsidP="00AB6DDE">
            <w:pPr>
              <w:rPr>
                <w:szCs w:val="24"/>
                <w:lang w:val="en-IE"/>
              </w:rPr>
            </w:pPr>
          </w:p>
          <w:p w14:paraId="1366F892" w14:textId="05B5E309" w:rsidR="00AB6DDE" w:rsidRPr="0059550D" w:rsidRDefault="00AB6DDE" w:rsidP="00AB6DDE">
            <w:pPr>
              <w:rPr>
                <w:b/>
                <w:lang w:val="en-IE"/>
              </w:rPr>
            </w:pPr>
            <w:r w:rsidRPr="0059550D">
              <w:rPr>
                <w:b/>
                <w:lang w:val="en-IE"/>
              </w:rPr>
              <w:t>Reasons for Unused</w:t>
            </w:r>
          </w:p>
          <w:p w14:paraId="4414E8CE" w14:textId="68905920" w:rsidR="00AB6DDE" w:rsidRPr="0059550D" w:rsidRDefault="00AB6DDE" w:rsidP="00AB6DDE">
            <w:pPr>
              <w:rPr>
                <w:lang w:val="en-IE"/>
              </w:rPr>
            </w:pPr>
            <w:r w:rsidRPr="0059550D">
              <w:rPr>
                <w:lang w:val="en-IE"/>
              </w:rPr>
              <w:t>None.</w:t>
            </w:r>
          </w:p>
        </w:tc>
      </w:tr>
      <w:tr w:rsidR="00AB6DDE" w:rsidRPr="0059550D" w14:paraId="3E507F38" w14:textId="77777777" w:rsidTr="008D6040">
        <w:tc>
          <w:tcPr>
            <w:tcW w:w="263" w:type="pct"/>
            <w:shd w:val="clear" w:color="auto" w:fill="8DB3E2" w:themeFill="text2" w:themeFillTint="66"/>
            <w:vAlign w:val="center"/>
          </w:tcPr>
          <w:p w14:paraId="7E177C18" w14:textId="3D060F25" w:rsidR="00AB6DDE" w:rsidRPr="0059550D" w:rsidRDefault="00AB6DDE" w:rsidP="00AB6DDE">
            <w:pPr>
              <w:jc w:val="center"/>
              <w:rPr>
                <w:i/>
                <w:lang w:val="en-IE"/>
              </w:rPr>
            </w:pPr>
            <w:r w:rsidRPr="0059550D">
              <w:rPr>
                <w:i/>
                <w:lang w:val="en-IE"/>
              </w:rPr>
              <w:t>1</w:t>
            </w:r>
            <w:r w:rsidR="00832D5D">
              <w:rPr>
                <w:i/>
                <w:lang w:val="en-IE"/>
              </w:rPr>
              <w:t>9</w:t>
            </w:r>
          </w:p>
        </w:tc>
        <w:tc>
          <w:tcPr>
            <w:tcW w:w="823" w:type="pct"/>
            <w:shd w:val="clear" w:color="auto" w:fill="8DB3E2" w:themeFill="text2" w:themeFillTint="66"/>
            <w:vAlign w:val="center"/>
          </w:tcPr>
          <w:p w14:paraId="54C8ABAC" w14:textId="7C10B899" w:rsidR="00AB6DDE" w:rsidRPr="00B53A49" w:rsidRDefault="00AB6DDE" w:rsidP="00952D33">
            <w:pPr>
              <w:rPr>
                <w:i/>
                <w:lang w:val="en-IE"/>
              </w:rPr>
            </w:pPr>
            <w:r w:rsidRPr="00B53A49">
              <w:rPr>
                <w:i/>
                <w:lang w:val="en-IE"/>
              </w:rPr>
              <w:t xml:space="preserve">Documents Official </w:t>
            </w:r>
            <w:r w:rsidRPr="00B53A49">
              <w:rPr>
                <w:i/>
                <w:lang w:val="en-IE"/>
              </w:rPr>
              <w:lastRenderedPageBreak/>
              <w:t xml:space="preserve">Language </w:t>
            </w:r>
            <w:r w:rsidR="008D411F" w:rsidRPr="00B53A49">
              <w:rPr>
                <w:i/>
                <w:lang w:val="en-IE"/>
              </w:rPr>
              <w:br/>
            </w:r>
            <w:r w:rsidRPr="00B53A49">
              <w:rPr>
                <w:i/>
                <w:lang w:val="en-IE"/>
              </w:rPr>
              <w:t>(BT-708)</w:t>
            </w:r>
            <w:r w:rsidR="00952D33" w:rsidRPr="00B53A49">
              <w:rPr>
                <w:i/>
                <w:lang w:val="en-IE"/>
              </w:rPr>
              <w:br/>
            </w:r>
          </w:p>
          <w:p w14:paraId="3AA23035" w14:textId="4538672D" w:rsidR="00AB6DDE" w:rsidRPr="00B53A49" w:rsidRDefault="00AB6DDE" w:rsidP="00952D33">
            <w:pPr>
              <w:rPr>
                <w:i/>
                <w:lang w:val="en-IE"/>
              </w:rPr>
            </w:pPr>
            <w:r w:rsidRPr="00B53A49">
              <w:rPr>
                <w:i/>
                <w:lang w:val="en-IE"/>
              </w:rPr>
              <w:t>&amp;</w:t>
            </w:r>
            <w:r w:rsidR="00952D33" w:rsidRPr="00B53A49">
              <w:rPr>
                <w:i/>
                <w:lang w:val="en-IE"/>
              </w:rPr>
              <w:br/>
            </w:r>
          </w:p>
          <w:p w14:paraId="2634ED31" w14:textId="27AA260A" w:rsidR="00AB6DDE" w:rsidRPr="00B53A49" w:rsidRDefault="00AB6DDE" w:rsidP="00952D33">
            <w:pPr>
              <w:rPr>
                <w:i/>
                <w:lang w:val="en-IE"/>
              </w:rPr>
            </w:pPr>
            <w:r w:rsidRPr="00B53A49">
              <w:rPr>
                <w:i/>
                <w:lang w:val="en-IE"/>
              </w:rPr>
              <w:t xml:space="preserve">Documents Unofficial Language </w:t>
            </w:r>
            <w:r w:rsidR="008D411F" w:rsidRPr="00B53A49">
              <w:rPr>
                <w:i/>
                <w:lang w:val="en-IE"/>
              </w:rPr>
              <w:br/>
            </w:r>
            <w:r w:rsidRPr="00B53A49">
              <w:rPr>
                <w:i/>
                <w:lang w:val="en-IE"/>
              </w:rPr>
              <w:t>(BT-737)</w:t>
            </w:r>
          </w:p>
        </w:tc>
        <w:tc>
          <w:tcPr>
            <w:tcW w:w="892" w:type="pct"/>
            <w:shd w:val="clear" w:color="auto" w:fill="8DB3E2" w:themeFill="text2" w:themeFillTint="66"/>
            <w:vAlign w:val="center"/>
          </w:tcPr>
          <w:p w14:paraId="577C2F84" w14:textId="77777777" w:rsidR="00AB6DDE" w:rsidRPr="00B53A49" w:rsidRDefault="00AB6DDE" w:rsidP="00952D33">
            <w:pPr>
              <w:rPr>
                <w:lang w:val="en-IE"/>
              </w:rPr>
            </w:pPr>
          </w:p>
        </w:tc>
        <w:tc>
          <w:tcPr>
            <w:tcW w:w="3022" w:type="pct"/>
          </w:tcPr>
          <w:p w14:paraId="669B2161" w14:textId="57C4FB41" w:rsidR="00AB6DDE" w:rsidRPr="00C929D3" w:rsidRDefault="00AB6DDE" w:rsidP="00AB6DDE">
            <w:pPr>
              <w:rPr>
                <w:b/>
                <w:lang w:val="en-IE"/>
              </w:rPr>
            </w:pPr>
            <w:r w:rsidRPr="00C929D3">
              <w:rPr>
                <w:b/>
                <w:lang w:val="en-IE"/>
              </w:rPr>
              <w:t xml:space="preserve">Reasons for Mandatory </w:t>
            </w:r>
          </w:p>
          <w:p w14:paraId="32BBBF08" w14:textId="4E72DD0D" w:rsidR="00AB6DDE" w:rsidRPr="0059550D" w:rsidRDefault="00AB6DDE" w:rsidP="00AB6DDE">
            <w:pPr>
              <w:rPr>
                <w:lang w:val="en-IE"/>
              </w:rPr>
            </w:pPr>
            <w:r w:rsidRPr="0059550D">
              <w:rPr>
                <w:lang w:val="en-IE"/>
              </w:rPr>
              <w:lastRenderedPageBreak/>
              <w:t>Translating procurement documents (or their parts) into another language (usually English) removes an important barrier for economic operators to participate in a procurement procedure abroad. Including information about these translations in a TED notice allows companies to search</w:t>
            </w:r>
            <w:r w:rsidR="00BE6752" w:rsidRPr="0059550D">
              <w:rPr>
                <w:lang w:val="en-IE"/>
              </w:rPr>
              <w:t xml:space="preserve"> specifically</w:t>
            </w:r>
            <w:r w:rsidRPr="0059550D">
              <w:rPr>
                <w:lang w:val="en-IE"/>
              </w:rPr>
              <w:t xml:space="preserve"> for such procedures</w:t>
            </w:r>
            <w:r w:rsidR="00BE6752" w:rsidRPr="0059550D">
              <w:rPr>
                <w:lang w:val="en-IE"/>
              </w:rPr>
              <w:t>.</w:t>
            </w:r>
            <w:r w:rsidRPr="0059550D">
              <w:rPr>
                <w:lang w:val="en-IE"/>
              </w:rPr>
              <w:t xml:space="preserve"> </w:t>
            </w:r>
          </w:p>
          <w:p w14:paraId="29511FC1" w14:textId="77777777" w:rsidR="00AB6DDE" w:rsidRPr="0059550D" w:rsidRDefault="00AB6DDE" w:rsidP="00AB6DDE">
            <w:pPr>
              <w:rPr>
                <w:lang w:val="en-IE"/>
              </w:rPr>
            </w:pPr>
          </w:p>
          <w:p w14:paraId="0694CC11" w14:textId="179296E5" w:rsidR="00AB6DDE" w:rsidRPr="00117B1D" w:rsidRDefault="00AB6DDE" w:rsidP="00AB6DDE">
            <w:pPr>
              <w:rPr>
                <w:b/>
                <w:lang w:val="en-IE"/>
              </w:rPr>
            </w:pPr>
            <w:r w:rsidRPr="00117B1D">
              <w:rPr>
                <w:b/>
                <w:lang w:val="en-IE"/>
              </w:rPr>
              <w:t xml:space="preserve">Reasons for </w:t>
            </w:r>
            <w:r w:rsidR="00472E99" w:rsidRPr="00117B1D">
              <w:rPr>
                <w:b/>
                <w:lang w:val="en-IE"/>
              </w:rPr>
              <w:t>Optional</w:t>
            </w:r>
          </w:p>
          <w:p w14:paraId="580414BD" w14:textId="12537E84" w:rsidR="00447EE2" w:rsidRPr="009B198C" w:rsidRDefault="00AB6DDE" w:rsidP="00447EE2">
            <w:pPr>
              <w:rPr>
                <w:szCs w:val="24"/>
                <w:lang w:val="en-IE"/>
              </w:rPr>
            </w:pPr>
            <w:r w:rsidRPr="0059550D">
              <w:rPr>
                <w:szCs w:val="24"/>
                <w:lang w:val="en-IE"/>
              </w:rPr>
              <w:t>Causes minimal</w:t>
            </w:r>
            <w:r w:rsidR="00551918">
              <w:rPr>
                <w:szCs w:val="24"/>
                <w:lang w:val="en-IE"/>
              </w:rPr>
              <w:t xml:space="preserve"> </w:t>
            </w:r>
            <w:r w:rsidRPr="0059550D">
              <w:rPr>
                <w:szCs w:val="24"/>
                <w:lang w:val="en-IE"/>
              </w:rPr>
              <w:t xml:space="preserve">administrative </w:t>
            </w:r>
            <w:r w:rsidR="00551918">
              <w:rPr>
                <w:szCs w:val="24"/>
                <w:lang w:val="en-IE"/>
              </w:rPr>
              <w:t>effort</w:t>
            </w:r>
            <w:r w:rsidRPr="0059550D">
              <w:rPr>
                <w:szCs w:val="24"/>
                <w:lang w:val="en-IE"/>
              </w:rPr>
              <w:t>.</w:t>
            </w:r>
            <w:r w:rsidR="00BE6752" w:rsidRPr="0059550D">
              <w:rPr>
                <w:szCs w:val="24"/>
                <w:lang w:val="en-IE"/>
              </w:rPr>
              <w:t xml:space="preserve"> </w:t>
            </w:r>
            <w:r w:rsidRPr="0059550D">
              <w:rPr>
                <w:szCs w:val="24"/>
                <w:lang w:val="en-IE"/>
              </w:rPr>
              <w:t>For most systems, this information can be filled in automatically.</w:t>
            </w:r>
          </w:p>
          <w:p w14:paraId="627CEE10" w14:textId="3D484C5B" w:rsidR="00447EE2" w:rsidRPr="00117B1D" w:rsidRDefault="00447EE2" w:rsidP="00CF7872">
            <w:pPr>
              <w:keepNext/>
              <w:keepLines/>
              <w:spacing w:before="200"/>
              <w:outlineLvl w:val="4"/>
              <w:rPr>
                <w:b/>
                <w:lang w:val="en-IE"/>
              </w:rPr>
            </w:pPr>
            <w:r w:rsidRPr="00117B1D">
              <w:rPr>
                <w:b/>
                <w:lang w:val="en-IE"/>
              </w:rPr>
              <w:t>Reasons for Unused</w:t>
            </w:r>
          </w:p>
          <w:p w14:paraId="347274E1" w14:textId="0460C24F" w:rsidR="00447EE2" w:rsidRDefault="00447EE2" w:rsidP="00551918">
            <w:pPr>
              <w:rPr>
                <w:szCs w:val="24"/>
                <w:lang w:val="en-IE"/>
              </w:rPr>
            </w:pPr>
            <w:r>
              <w:rPr>
                <w:szCs w:val="24"/>
                <w:lang w:val="en-IE"/>
              </w:rPr>
              <w:t>None</w:t>
            </w:r>
            <w:r w:rsidR="00CF7872">
              <w:rPr>
                <w:szCs w:val="24"/>
                <w:lang w:val="en-IE"/>
              </w:rPr>
              <w:t>.</w:t>
            </w:r>
          </w:p>
          <w:p w14:paraId="5237B611" w14:textId="1695EA81" w:rsidR="00447EE2" w:rsidRPr="00073D33" w:rsidRDefault="00447EE2" w:rsidP="00551918">
            <w:pPr>
              <w:rPr>
                <w:szCs w:val="24"/>
                <w:lang w:val="en-IE"/>
              </w:rPr>
            </w:pPr>
          </w:p>
        </w:tc>
      </w:tr>
      <w:tr w:rsidR="00AB6DDE" w:rsidRPr="0059550D" w14:paraId="1DA13E45" w14:textId="77777777" w:rsidTr="008D6040">
        <w:tc>
          <w:tcPr>
            <w:tcW w:w="263" w:type="pct"/>
            <w:shd w:val="clear" w:color="auto" w:fill="8DB3E2" w:themeFill="text2" w:themeFillTint="66"/>
            <w:vAlign w:val="center"/>
          </w:tcPr>
          <w:p w14:paraId="0FE9F68A" w14:textId="10520699" w:rsidR="00AB6DDE" w:rsidRPr="0059550D" w:rsidRDefault="00832D5D" w:rsidP="00AB6DDE">
            <w:pPr>
              <w:jc w:val="center"/>
              <w:rPr>
                <w:lang w:val="en-IE"/>
              </w:rPr>
            </w:pPr>
            <w:r>
              <w:rPr>
                <w:lang w:val="en-IE"/>
              </w:rPr>
              <w:lastRenderedPageBreak/>
              <w:t>20</w:t>
            </w:r>
          </w:p>
        </w:tc>
        <w:tc>
          <w:tcPr>
            <w:tcW w:w="823" w:type="pct"/>
            <w:shd w:val="clear" w:color="auto" w:fill="8DB3E2" w:themeFill="text2" w:themeFillTint="66"/>
            <w:vAlign w:val="center"/>
          </w:tcPr>
          <w:p w14:paraId="131C5B37" w14:textId="7ACFC5F3" w:rsidR="00AB6DDE" w:rsidRPr="0059550D" w:rsidRDefault="00AB6DDE" w:rsidP="00952D33">
            <w:pPr>
              <w:rPr>
                <w:lang w:val="en-IE"/>
              </w:rPr>
            </w:pPr>
            <w:r w:rsidRPr="0059550D">
              <w:rPr>
                <w:lang w:val="en-IE"/>
              </w:rPr>
              <w:t>Submission Electronic (BT-17)</w:t>
            </w:r>
          </w:p>
          <w:p w14:paraId="41E40B52" w14:textId="77777777" w:rsidR="00AB6DDE" w:rsidRPr="0059550D" w:rsidRDefault="00AB6DDE" w:rsidP="00952D33">
            <w:pPr>
              <w:rPr>
                <w:lang w:val="en-IE"/>
              </w:rPr>
            </w:pPr>
          </w:p>
          <w:p w14:paraId="6493276C" w14:textId="77777777" w:rsidR="00AB6DDE" w:rsidRPr="0059550D" w:rsidRDefault="00AB6DDE" w:rsidP="00952D33">
            <w:pPr>
              <w:rPr>
                <w:lang w:val="en-IE"/>
              </w:rPr>
            </w:pPr>
            <w:r w:rsidRPr="0059550D">
              <w:rPr>
                <w:lang w:val="en-IE"/>
              </w:rPr>
              <w:t>&amp;</w:t>
            </w:r>
          </w:p>
          <w:p w14:paraId="7C5C43E1" w14:textId="77777777" w:rsidR="00AB6DDE" w:rsidRPr="0059550D" w:rsidRDefault="00AB6DDE" w:rsidP="00952D33">
            <w:pPr>
              <w:rPr>
                <w:lang w:val="en-IE"/>
              </w:rPr>
            </w:pPr>
          </w:p>
          <w:p w14:paraId="64AD9A7C" w14:textId="2F8C6127" w:rsidR="00AB6DDE" w:rsidRPr="0059550D" w:rsidRDefault="00AB6DDE" w:rsidP="00952D33">
            <w:pPr>
              <w:rPr>
                <w:i/>
                <w:lang w:val="en-IE"/>
              </w:rPr>
            </w:pPr>
            <w:r w:rsidRPr="0059550D">
              <w:rPr>
                <w:lang w:val="en-IE"/>
              </w:rPr>
              <w:t xml:space="preserve">Submission URL </w:t>
            </w:r>
            <w:r w:rsidR="00B34DD6" w:rsidRPr="0059550D">
              <w:rPr>
                <w:lang w:val="en-IE"/>
              </w:rPr>
              <w:br/>
            </w:r>
            <w:r w:rsidRPr="0059550D">
              <w:rPr>
                <w:lang w:val="en-IE"/>
              </w:rPr>
              <w:t>(BT-18)</w:t>
            </w:r>
          </w:p>
        </w:tc>
        <w:tc>
          <w:tcPr>
            <w:tcW w:w="892" w:type="pct"/>
            <w:shd w:val="clear" w:color="auto" w:fill="8DB3E2" w:themeFill="text2" w:themeFillTint="66"/>
            <w:vAlign w:val="center"/>
          </w:tcPr>
          <w:p w14:paraId="29E1BDCC" w14:textId="77777777" w:rsidR="00AB6DDE" w:rsidRPr="0059550D" w:rsidRDefault="00AB6DDE" w:rsidP="00952D33">
            <w:pPr>
              <w:rPr>
                <w:lang w:val="en-IE"/>
              </w:rPr>
            </w:pPr>
            <w:r w:rsidRPr="0059550D">
              <w:rPr>
                <w:lang w:val="en-IE"/>
              </w:rPr>
              <w:t>“Whether economic operators are required, allowed or not allowed to submit tenders, requests to participate, or expressions of interest electronically.”</w:t>
            </w:r>
          </w:p>
          <w:p w14:paraId="794943D3" w14:textId="77777777" w:rsidR="00AB6DDE" w:rsidRPr="00EB186D" w:rsidRDefault="00AB6DDE" w:rsidP="00952D33">
            <w:pPr>
              <w:rPr>
                <w:i/>
                <w:lang w:val="en-IE"/>
              </w:rPr>
            </w:pPr>
            <w:r w:rsidRPr="00EB186D">
              <w:rPr>
                <w:i/>
                <w:lang w:val="en-IE"/>
              </w:rPr>
              <w:t>&amp;</w:t>
            </w:r>
          </w:p>
          <w:p w14:paraId="730C72A4" w14:textId="690A1656" w:rsidR="00AB6DDE" w:rsidRPr="0059550D" w:rsidRDefault="00AB6DDE" w:rsidP="00952D33">
            <w:pPr>
              <w:rPr>
                <w:lang w:val="en-IE"/>
              </w:rPr>
            </w:pPr>
            <w:r w:rsidRPr="00EB186D">
              <w:rPr>
                <w:i/>
                <w:lang w:val="en-IE"/>
              </w:rPr>
              <w:t>“The internet address for submission of tenders, requests to participate, or expressions of interest by electronic means. The address should be as direct as possible (ideally a dedicated address for the electronic submission, not just a general website).”</w:t>
            </w:r>
          </w:p>
        </w:tc>
        <w:tc>
          <w:tcPr>
            <w:tcW w:w="3022" w:type="pct"/>
          </w:tcPr>
          <w:p w14:paraId="4307D0E3" w14:textId="77777777" w:rsidR="00AB6DDE" w:rsidRPr="0059550D" w:rsidRDefault="00AB6DDE" w:rsidP="00AB6DDE">
            <w:pPr>
              <w:rPr>
                <w:szCs w:val="24"/>
                <w:lang w:val="en-IE"/>
              </w:rPr>
            </w:pPr>
            <w:r w:rsidRPr="0059550D">
              <w:rPr>
                <w:b/>
                <w:lang w:val="en-IE"/>
              </w:rPr>
              <w:t>Reasons for Mandatory</w:t>
            </w:r>
          </w:p>
          <w:p w14:paraId="1DE560AB" w14:textId="5304E92F" w:rsidR="00AB6DDE" w:rsidRPr="0059550D" w:rsidRDefault="00AB6DDE" w:rsidP="00AB6DDE">
            <w:pPr>
              <w:rPr>
                <w:lang w:val="en-IE"/>
              </w:rPr>
            </w:pPr>
            <w:r w:rsidRPr="0059550D">
              <w:rPr>
                <w:lang w:val="en-IE"/>
              </w:rPr>
              <w:t xml:space="preserve">This information is necessary for </w:t>
            </w:r>
            <w:r w:rsidR="00706C6A">
              <w:rPr>
                <w:lang w:val="en-IE"/>
              </w:rPr>
              <w:t>economic operator</w:t>
            </w:r>
            <w:r w:rsidRPr="0059550D">
              <w:rPr>
                <w:lang w:val="en-IE"/>
              </w:rPr>
              <w:t>s to know where to submit their tenders, requests to participate, or expressions of interest by electronic means.</w:t>
            </w:r>
          </w:p>
          <w:p w14:paraId="03BA4F8D" w14:textId="77777777" w:rsidR="00AB6DDE" w:rsidRPr="0059550D" w:rsidRDefault="00AB6DDE" w:rsidP="00AB6DDE">
            <w:pPr>
              <w:rPr>
                <w:lang w:val="en-IE"/>
              </w:rPr>
            </w:pPr>
          </w:p>
          <w:p w14:paraId="1D8A7605" w14:textId="77777777" w:rsidR="00AB6DDE" w:rsidRPr="0059550D" w:rsidRDefault="00AB6DDE" w:rsidP="00AB6DDE">
            <w:pPr>
              <w:rPr>
                <w:lang w:val="en-IE"/>
              </w:rPr>
            </w:pPr>
            <w:r w:rsidRPr="0059550D">
              <w:rPr>
                <w:lang w:val="en-IE"/>
              </w:rPr>
              <w:t xml:space="preserve">The field is necessary if electronic submission is obligatory in areas where not required by EU law: defence directive, concessions directive, design contests and social or other specific services. </w:t>
            </w:r>
          </w:p>
          <w:p w14:paraId="63DE4E38" w14:textId="77777777" w:rsidR="00AB6DDE" w:rsidRPr="0059550D" w:rsidRDefault="00AB6DDE" w:rsidP="00AB6DDE">
            <w:pPr>
              <w:rPr>
                <w:lang w:val="en-IE"/>
              </w:rPr>
            </w:pPr>
          </w:p>
          <w:p w14:paraId="626BA138" w14:textId="77777777" w:rsidR="00AB6DDE" w:rsidRPr="0059550D" w:rsidRDefault="00AB6DDE" w:rsidP="00AB6DDE">
            <w:pPr>
              <w:rPr>
                <w:szCs w:val="24"/>
                <w:lang w:val="en-IE"/>
              </w:rPr>
            </w:pPr>
            <w:r w:rsidRPr="0059550D">
              <w:rPr>
                <w:b/>
                <w:lang w:val="en-IE"/>
              </w:rPr>
              <w:t>Reasons for Optional</w:t>
            </w:r>
          </w:p>
          <w:p w14:paraId="5614CA3E" w14:textId="77777777" w:rsidR="00AB6DDE" w:rsidRPr="0059550D" w:rsidRDefault="00AB6DDE" w:rsidP="00AB6DDE">
            <w:pPr>
              <w:rPr>
                <w:lang w:val="en-IE"/>
              </w:rPr>
            </w:pPr>
            <w:r w:rsidRPr="0059550D">
              <w:rPr>
                <w:szCs w:val="24"/>
                <w:lang w:val="en-IE"/>
              </w:rPr>
              <w:t xml:space="preserve">If electronic submission is not obligatory </w:t>
            </w:r>
            <w:r w:rsidRPr="0059550D">
              <w:rPr>
                <w:lang w:val="en-IE"/>
              </w:rPr>
              <w:t>in areas where not required by EU law (see left), then the field should be optional.</w:t>
            </w:r>
          </w:p>
          <w:p w14:paraId="769F91C0" w14:textId="77777777" w:rsidR="00AB6DDE" w:rsidRPr="0059550D" w:rsidRDefault="00AB6DDE" w:rsidP="00AB6DDE">
            <w:pPr>
              <w:rPr>
                <w:lang w:val="en-IE"/>
              </w:rPr>
            </w:pPr>
          </w:p>
          <w:p w14:paraId="62A75BCC" w14:textId="77777777" w:rsidR="00AB6DDE" w:rsidRPr="0059550D" w:rsidRDefault="00AB6DDE" w:rsidP="00AB6DDE">
            <w:pPr>
              <w:rPr>
                <w:szCs w:val="24"/>
                <w:lang w:val="en-IE"/>
              </w:rPr>
            </w:pPr>
            <w:r w:rsidRPr="0059550D">
              <w:rPr>
                <w:b/>
                <w:lang w:val="en-IE"/>
              </w:rPr>
              <w:t>Reasons for Unused</w:t>
            </w:r>
          </w:p>
          <w:p w14:paraId="3F96F77D" w14:textId="4979946C" w:rsidR="00AB6DDE" w:rsidRPr="0059550D" w:rsidRDefault="00AB6DDE" w:rsidP="00AB6DDE">
            <w:pPr>
              <w:rPr>
                <w:b/>
                <w:i/>
                <w:lang w:val="en-IE"/>
              </w:rPr>
            </w:pPr>
            <w:r w:rsidRPr="0059550D">
              <w:rPr>
                <w:szCs w:val="24"/>
                <w:lang w:val="en-IE"/>
              </w:rPr>
              <w:t>None.</w:t>
            </w:r>
          </w:p>
        </w:tc>
      </w:tr>
      <w:tr w:rsidR="00AB6DDE" w:rsidRPr="0059550D" w14:paraId="54CC1078" w14:textId="77777777" w:rsidTr="008D6040">
        <w:tc>
          <w:tcPr>
            <w:tcW w:w="263" w:type="pct"/>
            <w:shd w:val="clear" w:color="auto" w:fill="8DB3E2" w:themeFill="text2" w:themeFillTint="66"/>
            <w:vAlign w:val="center"/>
          </w:tcPr>
          <w:p w14:paraId="2CD56289" w14:textId="35D3C3BF" w:rsidR="00AB6DDE" w:rsidRPr="0059550D" w:rsidRDefault="00832D5D" w:rsidP="00AB6DDE">
            <w:pPr>
              <w:jc w:val="center"/>
              <w:rPr>
                <w:lang w:val="en-IE"/>
              </w:rPr>
            </w:pPr>
            <w:r>
              <w:rPr>
                <w:lang w:val="en-IE"/>
              </w:rPr>
              <w:t>21</w:t>
            </w:r>
          </w:p>
        </w:tc>
        <w:tc>
          <w:tcPr>
            <w:tcW w:w="823" w:type="pct"/>
            <w:shd w:val="clear" w:color="auto" w:fill="8DB3E2" w:themeFill="text2" w:themeFillTint="66"/>
            <w:vAlign w:val="center"/>
          </w:tcPr>
          <w:p w14:paraId="18A1062E" w14:textId="57346DCA" w:rsidR="00AB6DDE" w:rsidRPr="0059550D" w:rsidRDefault="00AB6DDE" w:rsidP="00952D33">
            <w:pPr>
              <w:rPr>
                <w:i/>
                <w:lang w:val="en-IE"/>
              </w:rPr>
            </w:pPr>
            <w:r w:rsidRPr="0059550D">
              <w:rPr>
                <w:lang w:val="en-IE"/>
              </w:rPr>
              <w:t xml:space="preserve">Submission Electronic </w:t>
            </w:r>
            <w:r w:rsidRPr="0059550D">
              <w:rPr>
                <w:lang w:val="en-IE"/>
              </w:rPr>
              <w:lastRenderedPageBreak/>
              <w:t xml:space="preserve">Signature </w:t>
            </w:r>
            <w:r w:rsidR="00B34DD6" w:rsidRPr="0059550D">
              <w:rPr>
                <w:lang w:val="en-IE"/>
              </w:rPr>
              <w:br/>
            </w:r>
            <w:r w:rsidRPr="0059550D">
              <w:rPr>
                <w:lang w:val="en-IE"/>
              </w:rPr>
              <w:t>(BT-744)</w:t>
            </w:r>
          </w:p>
        </w:tc>
        <w:tc>
          <w:tcPr>
            <w:tcW w:w="892" w:type="pct"/>
            <w:shd w:val="clear" w:color="auto" w:fill="8DB3E2" w:themeFill="text2" w:themeFillTint="66"/>
            <w:vAlign w:val="center"/>
          </w:tcPr>
          <w:p w14:paraId="7476CD27" w14:textId="0C9CFB59" w:rsidR="00AB6DDE" w:rsidRPr="0059550D" w:rsidRDefault="00AB6DDE" w:rsidP="00952D33">
            <w:pPr>
              <w:rPr>
                <w:lang w:val="en-IE"/>
              </w:rPr>
            </w:pPr>
            <w:r w:rsidRPr="0059550D">
              <w:rPr>
                <w:lang w:val="en-IE"/>
              </w:rPr>
              <w:lastRenderedPageBreak/>
              <w:t xml:space="preserve">Advanced or qualified </w:t>
            </w:r>
            <w:r w:rsidRPr="0059550D">
              <w:rPr>
                <w:lang w:val="en-IE"/>
              </w:rPr>
              <w:lastRenderedPageBreak/>
              <w:t>electronic signature or seal (as defined in Regulation (EU) No 910/2014) is required.</w:t>
            </w:r>
          </w:p>
        </w:tc>
        <w:tc>
          <w:tcPr>
            <w:tcW w:w="3022" w:type="pct"/>
          </w:tcPr>
          <w:p w14:paraId="7D634B3D" w14:textId="77777777" w:rsidR="00AB6DDE" w:rsidRPr="0059550D" w:rsidRDefault="00AB6DDE" w:rsidP="00AB6DDE">
            <w:pPr>
              <w:rPr>
                <w:szCs w:val="24"/>
                <w:lang w:val="en-IE"/>
              </w:rPr>
            </w:pPr>
            <w:r w:rsidRPr="0059550D">
              <w:rPr>
                <w:b/>
                <w:lang w:val="en-IE"/>
              </w:rPr>
              <w:lastRenderedPageBreak/>
              <w:t>Reasons for Mandatory</w:t>
            </w:r>
          </w:p>
          <w:p w14:paraId="7D4959D2" w14:textId="24CFDFFE" w:rsidR="00117B1D" w:rsidRDefault="00117B1D" w:rsidP="00117B1D">
            <w:pPr>
              <w:keepNext/>
              <w:keepLines/>
              <w:outlineLvl w:val="6"/>
              <w:rPr>
                <w:iCs/>
                <w:szCs w:val="24"/>
                <w:lang w:val="en-IE" w:eastAsia="en-GB"/>
              </w:rPr>
            </w:pPr>
            <w:r w:rsidRPr="0059550D">
              <w:rPr>
                <w:iCs/>
                <w:szCs w:val="24"/>
                <w:lang w:val="en-IE" w:eastAsia="en-GB"/>
              </w:rPr>
              <w:lastRenderedPageBreak/>
              <w:t xml:space="preserve">In EU countries, </w:t>
            </w:r>
            <w:r>
              <w:rPr>
                <w:iCs/>
                <w:szCs w:val="24"/>
                <w:lang w:val="en-IE" w:eastAsia="en-GB"/>
              </w:rPr>
              <w:t xml:space="preserve">where </w:t>
            </w:r>
            <w:r w:rsidRPr="0059550D">
              <w:rPr>
                <w:iCs/>
                <w:szCs w:val="24"/>
                <w:lang w:val="en-IE" w:eastAsia="en-GB"/>
              </w:rPr>
              <w:t xml:space="preserve">the </w:t>
            </w:r>
            <w:r>
              <w:rPr>
                <w:iCs/>
                <w:szCs w:val="24"/>
                <w:lang w:val="en-IE" w:eastAsia="en-GB"/>
              </w:rPr>
              <w:t>the use of electronic signature for submission</w:t>
            </w:r>
            <w:r w:rsidRPr="0059550D">
              <w:rPr>
                <w:iCs/>
                <w:szCs w:val="24"/>
                <w:lang w:val="en-IE" w:eastAsia="en-GB"/>
              </w:rPr>
              <w:t xml:space="preserve"> </w:t>
            </w:r>
            <w:r>
              <w:rPr>
                <w:iCs/>
                <w:szCs w:val="24"/>
                <w:lang w:val="en-IE" w:eastAsia="en-GB"/>
              </w:rPr>
              <w:t>is an obligation</w:t>
            </w:r>
            <w:r w:rsidR="00D37C5C">
              <w:rPr>
                <w:iCs/>
                <w:szCs w:val="24"/>
                <w:lang w:val="en-IE" w:eastAsia="en-GB"/>
              </w:rPr>
              <w:t>.</w:t>
            </w:r>
          </w:p>
          <w:p w14:paraId="6EC7BB80" w14:textId="0F0AF68B" w:rsidR="00AB6DDE" w:rsidRPr="0059550D" w:rsidRDefault="00117B1D" w:rsidP="00AB6DDE">
            <w:pPr>
              <w:rPr>
                <w:iCs/>
                <w:szCs w:val="24"/>
                <w:lang w:val="en-IE" w:eastAsia="en-GB"/>
              </w:rPr>
            </w:pPr>
            <w:r w:rsidRPr="0059550D" w:rsidDel="00117B1D">
              <w:rPr>
                <w:iCs/>
                <w:szCs w:val="24"/>
                <w:lang w:val="en-IE" w:eastAsia="en-GB"/>
              </w:rPr>
              <w:t xml:space="preserve"> </w:t>
            </w:r>
          </w:p>
          <w:p w14:paraId="6D29EF30" w14:textId="32A0DB8F" w:rsidR="00447EE2" w:rsidRDefault="00447EE2" w:rsidP="006133F6">
            <w:pPr>
              <w:rPr>
                <w:b/>
                <w:lang w:val="en-IE"/>
              </w:rPr>
            </w:pPr>
            <w:r>
              <w:rPr>
                <w:b/>
                <w:lang w:val="en-IE"/>
              </w:rPr>
              <w:t>Reason</w:t>
            </w:r>
            <w:r w:rsidR="00CF7872">
              <w:rPr>
                <w:b/>
                <w:lang w:val="en-IE"/>
              </w:rPr>
              <w:t>s</w:t>
            </w:r>
            <w:r>
              <w:rPr>
                <w:b/>
                <w:lang w:val="en-IE"/>
              </w:rPr>
              <w:t xml:space="preserve"> for optional</w:t>
            </w:r>
          </w:p>
          <w:p w14:paraId="2508DC80" w14:textId="5E41CCC3" w:rsidR="00117B1D" w:rsidRDefault="00117B1D" w:rsidP="00117B1D">
            <w:pPr>
              <w:keepNext/>
              <w:keepLines/>
              <w:outlineLvl w:val="6"/>
              <w:rPr>
                <w:iCs/>
                <w:szCs w:val="24"/>
                <w:lang w:val="en-IE" w:eastAsia="en-GB"/>
              </w:rPr>
            </w:pPr>
            <w:r w:rsidRPr="0059550D">
              <w:rPr>
                <w:iCs/>
                <w:szCs w:val="24"/>
                <w:lang w:val="en-IE" w:eastAsia="en-GB"/>
              </w:rPr>
              <w:t xml:space="preserve">In EU countries, </w:t>
            </w:r>
            <w:r>
              <w:rPr>
                <w:iCs/>
                <w:szCs w:val="24"/>
                <w:lang w:val="en-IE" w:eastAsia="en-GB"/>
              </w:rPr>
              <w:t xml:space="preserve">where </w:t>
            </w:r>
            <w:r w:rsidRPr="0059550D">
              <w:rPr>
                <w:iCs/>
                <w:szCs w:val="24"/>
                <w:lang w:val="en-IE" w:eastAsia="en-GB"/>
              </w:rPr>
              <w:t xml:space="preserve">there </w:t>
            </w:r>
            <w:r>
              <w:rPr>
                <w:iCs/>
                <w:szCs w:val="24"/>
                <w:lang w:val="en-IE" w:eastAsia="en-GB"/>
              </w:rPr>
              <w:t>the use of electronic submission for signature</w:t>
            </w:r>
            <w:r w:rsidRPr="0059550D">
              <w:rPr>
                <w:iCs/>
                <w:szCs w:val="24"/>
                <w:lang w:val="en-IE" w:eastAsia="en-GB"/>
              </w:rPr>
              <w:t xml:space="preserve"> </w:t>
            </w:r>
            <w:r>
              <w:rPr>
                <w:iCs/>
                <w:szCs w:val="24"/>
                <w:lang w:val="en-IE" w:eastAsia="en-GB"/>
              </w:rPr>
              <w:t>is allowed but not an obligation</w:t>
            </w:r>
            <w:r w:rsidR="00D37C5C">
              <w:rPr>
                <w:iCs/>
                <w:szCs w:val="24"/>
                <w:lang w:val="en-IE" w:eastAsia="en-GB"/>
              </w:rPr>
              <w:t>.</w:t>
            </w:r>
          </w:p>
          <w:p w14:paraId="7332A7A3" w14:textId="77777777" w:rsidR="00447EE2" w:rsidRDefault="00447EE2" w:rsidP="00AB6DDE">
            <w:pPr>
              <w:rPr>
                <w:b/>
                <w:lang w:val="en-IE"/>
              </w:rPr>
            </w:pPr>
          </w:p>
          <w:p w14:paraId="7F712185" w14:textId="58C5C1DA" w:rsidR="00AB6DDE" w:rsidRPr="0059550D" w:rsidRDefault="00AB6DDE" w:rsidP="00AB6DDE">
            <w:pPr>
              <w:rPr>
                <w:iCs/>
                <w:szCs w:val="24"/>
                <w:lang w:val="en-IE" w:eastAsia="en-GB"/>
              </w:rPr>
            </w:pPr>
            <w:r w:rsidRPr="0059550D">
              <w:rPr>
                <w:b/>
                <w:lang w:val="en-IE"/>
              </w:rPr>
              <w:t>Reason</w:t>
            </w:r>
            <w:r w:rsidR="00CF7872">
              <w:rPr>
                <w:b/>
                <w:lang w:val="en-IE"/>
              </w:rPr>
              <w:t>s</w:t>
            </w:r>
            <w:r w:rsidRPr="0059550D">
              <w:rPr>
                <w:b/>
                <w:lang w:val="en-IE"/>
              </w:rPr>
              <w:t xml:space="preserve"> for Unused</w:t>
            </w:r>
          </w:p>
          <w:p w14:paraId="0CA94516" w14:textId="27C24249" w:rsidR="00AB6DDE" w:rsidRPr="00673E8C" w:rsidRDefault="00AB6DDE" w:rsidP="00CF7872">
            <w:pPr>
              <w:rPr>
                <w:iCs/>
                <w:szCs w:val="24"/>
                <w:lang w:val="en-IE" w:eastAsia="en-GB"/>
              </w:rPr>
            </w:pPr>
            <w:r w:rsidRPr="0059550D">
              <w:rPr>
                <w:iCs/>
                <w:szCs w:val="24"/>
                <w:lang w:val="en-IE" w:eastAsia="en-GB"/>
              </w:rPr>
              <w:t xml:space="preserve">In EU countries, </w:t>
            </w:r>
            <w:r w:rsidR="00117B1D">
              <w:rPr>
                <w:iCs/>
                <w:szCs w:val="24"/>
                <w:lang w:val="en-IE" w:eastAsia="en-GB"/>
              </w:rPr>
              <w:t xml:space="preserve">where </w:t>
            </w:r>
            <w:r w:rsidRPr="0059550D">
              <w:rPr>
                <w:iCs/>
                <w:szCs w:val="24"/>
                <w:lang w:val="en-IE" w:eastAsia="en-GB"/>
              </w:rPr>
              <w:t xml:space="preserve">there </w:t>
            </w:r>
            <w:r w:rsidR="00117B1D">
              <w:rPr>
                <w:iCs/>
                <w:szCs w:val="24"/>
                <w:lang w:val="en-IE" w:eastAsia="en-GB"/>
              </w:rPr>
              <w:t xml:space="preserve">is no obligation to use electronic </w:t>
            </w:r>
            <w:r w:rsidR="00CF7872">
              <w:rPr>
                <w:iCs/>
                <w:szCs w:val="24"/>
                <w:lang w:val="en-IE" w:eastAsia="en-GB"/>
              </w:rPr>
              <w:t>signature</w:t>
            </w:r>
            <w:r w:rsidR="00117B1D">
              <w:rPr>
                <w:iCs/>
                <w:szCs w:val="24"/>
                <w:lang w:val="en-IE" w:eastAsia="en-GB"/>
              </w:rPr>
              <w:t xml:space="preserve"> for </w:t>
            </w:r>
            <w:r w:rsidR="00CF7872">
              <w:rPr>
                <w:iCs/>
                <w:szCs w:val="24"/>
                <w:lang w:val="en-IE" w:eastAsia="en-GB"/>
              </w:rPr>
              <w:t>submission</w:t>
            </w:r>
            <w:r w:rsidR="00D37C5C">
              <w:rPr>
                <w:iCs/>
                <w:szCs w:val="24"/>
                <w:lang w:val="en-IE" w:eastAsia="en-GB"/>
              </w:rPr>
              <w:t>.</w:t>
            </w:r>
            <w:r w:rsidRPr="0059550D">
              <w:rPr>
                <w:iCs/>
                <w:szCs w:val="24"/>
                <w:lang w:val="en-IE" w:eastAsia="en-GB"/>
              </w:rPr>
              <w:t xml:space="preserve"> </w:t>
            </w:r>
          </w:p>
        </w:tc>
      </w:tr>
      <w:tr w:rsidR="00AB6DDE" w:rsidRPr="0059550D" w14:paraId="4001E389" w14:textId="77777777" w:rsidTr="008D6040">
        <w:tc>
          <w:tcPr>
            <w:tcW w:w="263" w:type="pct"/>
            <w:shd w:val="clear" w:color="auto" w:fill="8DB3E2" w:themeFill="text2" w:themeFillTint="66"/>
            <w:vAlign w:val="center"/>
          </w:tcPr>
          <w:p w14:paraId="453DE4F7" w14:textId="7955FD71" w:rsidR="00AB6DDE" w:rsidRPr="0059550D" w:rsidRDefault="00832D5D" w:rsidP="00AB6DDE">
            <w:pPr>
              <w:jc w:val="center"/>
              <w:rPr>
                <w:lang w:val="en-IE"/>
              </w:rPr>
            </w:pPr>
            <w:r>
              <w:rPr>
                <w:lang w:val="en-IE"/>
              </w:rPr>
              <w:lastRenderedPageBreak/>
              <w:t>22</w:t>
            </w:r>
          </w:p>
        </w:tc>
        <w:tc>
          <w:tcPr>
            <w:tcW w:w="823" w:type="pct"/>
            <w:shd w:val="clear" w:color="auto" w:fill="8DB3E2" w:themeFill="text2" w:themeFillTint="66"/>
            <w:vAlign w:val="center"/>
          </w:tcPr>
          <w:p w14:paraId="16FCAECC" w14:textId="1996786C" w:rsidR="00AB6DDE" w:rsidRPr="0059550D" w:rsidRDefault="00AB6DDE" w:rsidP="00952D33">
            <w:pPr>
              <w:rPr>
                <w:i/>
                <w:lang w:val="en-IE"/>
              </w:rPr>
            </w:pPr>
            <w:r w:rsidRPr="0059550D">
              <w:rPr>
                <w:lang w:val="en-IE"/>
              </w:rPr>
              <w:t xml:space="preserve">Multiple Tenders </w:t>
            </w:r>
            <w:r w:rsidR="00B34DD6" w:rsidRPr="0059550D">
              <w:rPr>
                <w:lang w:val="en-IE"/>
              </w:rPr>
              <w:br/>
            </w:r>
            <w:r w:rsidRPr="0059550D">
              <w:rPr>
                <w:lang w:val="en-IE"/>
              </w:rPr>
              <w:t>(BT-769)</w:t>
            </w:r>
          </w:p>
        </w:tc>
        <w:tc>
          <w:tcPr>
            <w:tcW w:w="892" w:type="pct"/>
            <w:shd w:val="clear" w:color="auto" w:fill="8DB3E2" w:themeFill="text2" w:themeFillTint="66"/>
            <w:vAlign w:val="center"/>
          </w:tcPr>
          <w:p w14:paraId="76CA9476" w14:textId="22B71E1C" w:rsidR="00AB6DDE" w:rsidRPr="0059550D" w:rsidRDefault="00AB6DDE" w:rsidP="00952D33">
            <w:pPr>
              <w:rPr>
                <w:lang w:val="en-IE"/>
              </w:rPr>
            </w:pPr>
            <w:r w:rsidRPr="0059550D">
              <w:rPr>
                <w:lang w:val="en-IE"/>
              </w:rPr>
              <w:t>Tenderers may submit more than one tender (for a given lot).</w:t>
            </w:r>
          </w:p>
        </w:tc>
        <w:tc>
          <w:tcPr>
            <w:tcW w:w="3022" w:type="pct"/>
          </w:tcPr>
          <w:p w14:paraId="660AECC4" w14:textId="77777777" w:rsidR="00AB6DDE" w:rsidRPr="0059550D" w:rsidRDefault="00AB6DDE" w:rsidP="00AB6DDE">
            <w:pPr>
              <w:rPr>
                <w:szCs w:val="24"/>
                <w:lang w:val="en-IE"/>
              </w:rPr>
            </w:pPr>
            <w:r w:rsidRPr="0059550D">
              <w:rPr>
                <w:b/>
                <w:lang w:val="en-IE"/>
              </w:rPr>
              <w:t>Reasons for Mandatory</w:t>
            </w:r>
          </w:p>
          <w:p w14:paraId="4C29F7D0" w14:textId="77777777" w:rsidR="00AB6DDE" w:rsidRPr="0059550D" w:rsidRDefault="00AB6DDE" w:rsidP="00AB6DDE">
            <w:pPr>
              <w:rPr>
                <w:iCs/>
                <w:szCs w:val="24"/>
                <w:lang w:val="en-IE" w:eastAsia="en-GB"/>
              </w:rPr>
            </w:pPr>
            <w:r w:rsidRPr="0059550D">
              <w:rPr>
                <w:iCs/>
                <w:szCs w:val="24"/>
                <w:lang w:val="en-IE" w:eastAsia="en-GB"/>
              </w:rPr>
              <w:t xml:space="preserve">Submitting multiple tenders is, in effect, similar to submitting variants to a tender. Some countries forbid the practice. Where it is not forbidden, it might be consistent to make the field mandatory in the same notices where Variants (BT-63) is used. </w:t>
            </w:r>
          </w:p>
          <w:p w14:paraId="0114D3E3" w14:textId="77777777" w:rsidR="00AB6DDE" w:rsidRPr="0059550D" w:rsidRDefault="00AB6DDE" w:rsidP="00AB6DDE">
            <w:pPr>
              <w:rPr>
                <w:iCs/>
                <w:szCs w:val="24"/>
                <w:lang w:val="en-IE" w:eastAsia="en-GB"/>
              </w:rPr>
            </w:pPr>
          </w:p>
          <w:p w14:paraId="2CEA90CD" w14:textId="77777777" w:rsidR="00E76646" w:rsidRDefault="00E76646" w:rsidP="006133F6">
            <w:pPr>
              <w:rPr>
                <w:b/>
                <w:lang w:val="en-IE"/>
              </w:rPr>
            </w:pPr>
            <w:r>
              <w:rPr>
                <w:b/>
                <w:lang w:val="en-IE"/>
              </w:rPr>
              <w:t>Reason for Optional</w:t>
            </w:r>
          </w:p>
          <w:p w14:paraId="500020A9" w14:textId="35709EBF" w:rsidR="00E76646" w:rsidRPr="00D37C5C" w:rsidRDefault="00E76646" w:rsidP="00D37C5C">
            <w:pPr>
              <w:keepNext/>
              <w:keepLines/>
              <w:outlineLvl w:val="6"/>
              <w:rPr>
                <w:lang w:val="en-IE"/>
              </w:rPr>
            </w:pPr>
            <w:r w:rsidRPr="00D37C5C">
              <w:rPr>
                <w:lang w:val="en-IE"/>
              </w:rPr>
              <w:t>None.</w:t>
            </w:r>
          </w:p>
          <w:p w14:paraId="2FF1C7EA" w14:textId="77777777" w:rsidR="00E76646" w:rsidRDefault="00E76646" w:rsidP="00AB6DDE">
            <w:pPr>
              <w:rPr>
                <w:b/>
                <w:lang w:val="en-IE"/>
              </w:rPr>
            </w:pPr>
          </w:p>
          <w:p w14:paraId="17115F78" w14:textId="77777777" w:rsidR="00AB6DDE" w:rsidRPr="0059550D" w:rsidRDefault="00AB6DDE" w:rsidP="00AB6DDE">
            <w:pPr>
              <w:rPr>
                <w:iCs/>
                <w:szCs w:val="24"/>
                <w:lang w:val="en-IE" w:eastAsia="en-GB"/>
              </w:rPr>
            </w:pPr>
            <w:r w:rsidRPr="0059550D">
              <w:rPr>
                <w:b/>
                <w:lang w:val="en-IE"/>
              </w:rPr>
              <w:t>Reasons for Unused</w:t>
            </w:r>
          </w:p>
          <w:p w14:paraId="54AE5BBA" w14:textId="74CCC369" w:rsidR="00AB6DDE" w:rsidRPr="00673E8C" w:rsidRDefault="00AB6DDE" w:rsidP="00AB6DDE">
            <w:pPr>
              <w:rPr>
                <w:iCs/>
                <w:szCs w:val="24"/>
                <w:lang w:val="en-IE" w:eastAsia="en-GB"/>
              </w:rPr>
            </w:pPr>
            <w:r w:rsidRPr="0059550D">
              <w:rPr>
                <w:iCs/>
                <w:szCs w:val="24"/>
                <w:lang w:val="en-IE" w:eastAsia="en-GB"/>
              </w:rPr>
              <w:t>None.</w:t>
            </w:r>
          </w:p>
        </w:tc>
      </w:tr>
      <w:tr w:rsidR="00AB6DDE" w:rsidRPr="0059550D" w14:paraId="766C8610" w14:textId="77777777" w:rsidTr="008D6040">
        <w:tc>
          <w:tcPr>
            <w:tcW w:w="263" w:type="pct"/>
            <w:shd w:val="clear" w:color="auto" w:fill="8DB3E2" w:themeFill="text2" w:themeFillTint="66"/>
            <w:vAlign w:val="center"/>
          </w:tcPr>
          <w:p w14:paraId="0DF43FF9" w14:textId="3DC1D473" w:rsidR="00AB6DDE" w:rsidRPr="0059550D" w:rsidRDefault="00832D5D" w:rsidP="00AB6DDE">
            <w:pPr>
              <w:jc w:val="center"/>
              <w:rPr>
                <w:lang w:val="en-IE"/>
              </w:rPr>
            </w:pPr>
            <w:r>
              <w:rPr>
                <w:lang w:val="en-IE"/>
              </w:rPr>
              <w:t>23</w:t>
            </w:r>
          </w:p>
        </w:tc>
        <w:tc>
          <w:tcPr>
            <w:tcW w:w="823" w:type="pct"/>
            <w:shd w:val="clear" w:color="auto" w:fill="8DB3E2" w:themeFill="text2" w:themeFillTint="66"/>
            <w:vAlign w:val="center"/>
          </w:tcPr>
          <w:p w14:paraId="544BF5D5" w14:textId="272DC975" w:rsidR="00AB6DDE" w:rsidRPr="0059550D" w:rsidRDefault="00AB6DDE" w:rsidP="00952D33">
            <w:pPr>
              <w:rPr>
                <w:lang w:val="en-IE"/>
              </w:rPr>
            </w:pPr>
            <w:r w:rsidRPr="0059550D">
              <w:rPr>
                <w:lang w:val="en-IE"/>
              </w:rPr>
              <w:t xml:space="preserve">Late Tenderer Information </w:t>
            </w:r>
            <w:r w:rsidR="00B34DD6" w:rsidRPr="0059550D">
              <w:rPr>
                <w:lang w:val="en-IE"/>
              </w:rPr>
              <w:br/>
            </w:r>
            <w:r w:rsidRPr="0059550D">
              <w:rPr>
                <w:lang w:val="en-IE"/>
              </w:rPr>
              <w:t xml:space="preserve">(BT-771) </w:t>
            </w:r>
            <w:r w:rsidRPr="0059550D">
              <w:rPr>
                <w:lang w:val="en-IE"/>
              </w:rPr>
              <w:br/>
            </w:r>
            <w:r w:rsidRPr="0059550D">
              <w:rPr>
                <w:lang w:val="en-IE"/>
              </w:rPr>
              <w:br/>
              <w:t>&amp;</w:t>
            </w:r>
          </w:p>
          <w:p w14:paraId="0122CBE1" w14:textId="77777777" w:rsidR="00AB6DDE" w:rsidRPr="0059550D" w:rsidRDefault="00AB6DDE" w:rsidP="00952D33">
            <w:pPr>
              <w:rPr>
                <w:lang w:val="en-IE"/>
              </w:rPr>
            </w:pPr>
          </w:p>
          <w:p w14:paraId="6F7CB5F4" w14:textId="2EF42A4A" w:rsidR="00AB6DDE" w:rsidRPr="0059550D" w:rsidRDefault="00AB6DDE" w:rsidP="00952D33">
            <w:pPr>
              <w:rPr>
                <w:i/>
                <w:lang w:val="en-IE"/>
              </w:rPr>
            </w:pPr>
            <w:r w:rsidRPr="0059550D">
              <w:rPr>
                <w:lang w:val="en-IE"/>
              </w:rPr>
              <w:t>Late Tenderer Information Description (BT-772)</w:t>
            </w:r>
          </w:p>
        </w:tc>
        <w:tc>
          <w:tcPr>
            <w:tcW w:w="892" w:type="pct"/>
            <w:shd w:val="clear" w:color="auto" w:fill="8DB3E2" w:themeFill="text2" w:themeFillTint="66"/>
            <w:vAlign w:val="center"/>
          </w:tcPr>
          <w:p w14:paraId="1E5D4BC7" w14:textId="68073186" w:rsidR="00AB6DDE" w:rsidRPr="0059550D" w:rsidRDefault="00AB6DDE" w:rsidP="00952D33">
            <w:pPr>
              <w:rPr>
                <w:lang w:val="en-IE"/>
              </w:rPr>
            </w:pPr>
            <w:r w:rsidRPr="0059550D">
              <w:rPr>
                <w:lang w:val="en-IE"/>
              </w:rPr>
              <w:t>Whether tenderer-related information can be supplemented even after the submission deadline.</w:t>
            </w:r>
          </w:p>
        </w:tc>
        <w:tc>
          <w:tcPr>
            <w:tcW w:w="3022" w:type="pct"/>
          </w:tcPr>
          <w:p w14:paraId="7703C272" w14:textId="77777777" w:rsidR="00AB6DDE" w:rsidRPr="0059550D" w:rsidRDefault="00AB6DDE" w:rsidP="00AB6DDE">
            <w:pPr>
              <w:rPr>
                <w:iCs/>
                <w:szCs w:val="24"/>
                <w:lang w:val="en-IE" w:eastAsia="en-GB"/>
              </w:rPr>
            </w:pPr>
            <w:r w:rsidRPr="0059550D">
              <w:rPr>
                <w:b/>
                <w:lang w:val="en-IE"/>
              </w:rPr>
              <w:t>Reasons for Mandatory</w:t>
            </w:r>
          </w:p>
          <w:p w14:paraId="664792FC" w14:textId="77777777" w:rsidR="00AB6DDE" w:rsidRPr="0059550D" w:rsidRDefault="00AB6DDE" w:rsidP="00AB6DDE">
            <w:pPr>
              <w:rPr>
                <w:iCs/>
                <w:szCs w:val="24"/>
                <w:lang w:val="en-IE" w:eastAsia="en-GB"/>
              </w:rPr>
            </w:pPr>
            <w:r w:rsidRPr="0059550D">
              <w:rPr>
                <w:iCs/>
                <w:szCs w:val="24"/>
                <w:lang w:val="en-IE" w:eastAsia="en-GB"/>
              </w:rPr>
              <w:t>None.</w:t>
            </w:r>
          </w:p>
          <w:p w14:paraId="62DECC40" w14:textId="77777777" w:rsidR="00AB6DDE" w:rsidRPr="0059550D" w:rsidRDefault="00AB6DDE" w:rsidP="00AB6DDE">
            <w:pPr>
              <w:rPr>
                <w:iCs/>
                <w:szCs w:val="24"/>
                <w:lang w:val="en-IE" w:eastAsia="en-GB"/>
              </w:rPr>
            </w:pPr>
          </w:p>
          <w:p w14:paraId="184E9303" w14:textId="77777777" w:rsidR="00AB6DDE" w:rsidRPr="0059550D" w:rsidRDefault="00AB6DDE" w:rsidP="00AB6DDE">
            <w:pPr>
              <w:rPr>
                <w:iCs/>
                <w:szCs w:val="24"/>
                <w:lang w:val="en-IE" w:eastAsia="en-GB"/>
              </w:rPr>
            </w:pPr>
            <w:r w:rsidRPr="0059550D">
              <w:rPr>
                <w:b/>
                <w:lang w:val="en-IE"/>
              </w:rPr>
              <w:t>Reasons for Optional</w:t>
            </w:r>
          </w:p>
          <w:p w14:paraId="196A92D0" w14:textId="77777777" w:rsidR="00AB6DDE" w:rsidRPr="0059550D" w:rsidRDefault="00AB6DDE" w:rsidP="00AB6DDE">
            <w:pPr>
              <w:rPr>
                <w:iCs/>
                <w:szCs w:val="24"/>
                <w:lang w:val="en-IE" w:eastAsia="en-GB"/>
              </w:rPr>
            </w:pPr>
            <w:r w:rsidRPr="0059550D">
              <w:rPr>
                <w:iCs/>
                <w:szCs w:val="24"/>
                <w:lang w:val="en-IE" w:eastAsia="en-GB"/>
              </w:rPr>
              <w:t>None.</w:t>
            </w:r>
          </w:p>
          <w:p w14:paraId="288EFC4C" w14:textId="77777777" w:rsidR="00AB6DDE" w:rsidRPr="0059550D" w:rsidRDefault="00AB6DDE" w:rsidP="00AB6DDE">
            <w:pPr>
              <w:rPr>
                <w:iCs/>
                <w:szCs w:val="24"/>
                <w:lang w:val="en-IE" w:eastAsia="en-GB"/>
              </w:rPr>
            </w:pPr>
          </w:p>
          <w:p w14:paraId="1071B512" w14:textId="77777777" w:rsidR="00AB6DDE" w:rsidRPr="0059550D" w:rsidRDefault="00AB6DDE" w:rsidP="00AB6DDE">
            <w:pPr>
              <w:rPr>
                <w:iCs/>
                <w:szCs w:val="24"/>
                <w:lang w:val="en-IE" w:eastAsia="en-GB"/>
              </w:rPr>
            </w:pPr>
            <w:r w:rsidRPr="0059550D">
              <w:rPr>
                <w:b/>
                <w:lang w:val="en-IE"/>
              </w:rPr>
              <w:t>Reasons for Unused</w:t>
            </w:r>
          </w:p>
          <w:p w14:paraId="7C30C7C3" w14:textId="753C359F" w:rsidR="00AB6DDE" w:rsidRPr="0059550D" w:rsidRDefault="00AB6DDE" w:rsidP="00AB6DDE">
            <w:pPr>
              <w:rPr>
                <w:b/>
                <w:i/>
                <w:lang w:val="en-IE"/>
              </w:rPr>
            </w:pPr>
            <w:r w:rsidRPr="0059550D">
              <w:rPr>
                <w:iCs/>
                <w:szCs w:val="24"/>
                <w:lang w:val="en-IE" w:eastAsia="en-GB"/>
              </w:rPr>
              <w:t>The field is used only in certain Member States. In most Member States, it is unlikely to be useful, and thus can easily be unused.</w:t>
            </w:r>
          </w:p>
        </w:tc>
      </w:tr>
      <w:tr w:rsidR="005721A0" w:rsidRPr="0059550D" w14:paraId="0CAA5025" w14:textId="77777777" w:rsidTr="008D6040">
        <w:tc>
          <w:tcPr>
            <w:tcW w:w="263" w:type="pct"/>
            <w:shd w:val="clear" w:color="auto" w:fill="8DB3E2" w:themeFill="text2" w:themeFillTint="66"/>
            <w:vAlign w:val="center"/>
          </w:tcPr>
          <w:p w14:paraId="609FDD64" w14:textId="374210F2" w:rsidR="005721A0" w:rsidRPr="0059550D" w:rsidRDefault="00832D5D" w:rsidP="00AB6DDE">
            <w:pPr>
              <w:jc w:val="center"/>
              <w:rPr>
                <w:lang w:val="en-IE"/>
              </w:rPr>
            </w:pPr>
            <w:r>
              <w:rPr>
                <w:lang w:val="en-IE"/>
              </w:rPr>
              <w:t>24</w:t>
            </w:r>
          </w:p>
        </w:tc>
        <w:tc>
          <w:tcPr>
            <w:tcW w:w="823" w:type="pct"/>
            <w:shd w:val="clear" w:color="auto" w:fill="8DB3E2" w:themeFill="text2" w:themeFillTint="66"/>
            <w:vAlign w:val="center"/>
          </w:tcPr>
          <w:p w14:paraId="46CCABE3" w14:textId="77777777" w:rsidR="005721A0" w:rsidRPr="0059550D" w:rsidRDefault="0044524E" w:rsidP="00952D33">
            <w:pPr>
              <w:rPr>
                <w:lang w:val="en-IE"/>
              </w:rPr>
            </w:pPr>
            <w:r w:rsidRPr="0059550D">
              <w:rPr>
                <w:lang w:val="en-IE"/>
              </w:rPr>
              <w:t>Group Framework Value (BG-55)</w:t>
            </w:r>
          </w:p>
          <w:p w14:paraId="6067C4BD" w14:textId="77777777" w:rsidR="0044524E" w:rsidRPr="0059550D" w:rsidRDefault="0044524E" w:rsidP="00952D33">
            <w:pPr>
              <w:rPr>
                <w:lang w:val="en-IE"/>
              </w:rPr>
            </w:pPr>
          </w:p>
          <w:p w14:paraId="4E327AEC" w14:textId="77777777" w:rsidR="0044524E" w:rsidRPr="0059550D" w:rsidRDefault="0044524E" w:rsidP="00952D33">
            <w:pPr>
              <w:rPr>
                <w:lang w:val="en-IE"/>
              </w:rPr>
            </w:pPr>
            <w:r w:rsidRPr="0059550D">
              <w:rPr>
                <w:lang w:val="en-IE"/>
              </w:rPr>
              <w:t>&amp;</w:t>
            </w:r>
          </w:p>
          <w:p w14:paraId="31AD7FFB" w14:textId="77777777" w:rsidR="0044524E" w:rsidRPr="0059550D" w:rsidRDefault="0044524E" w:rsidP="00952D33">
            <w:pPr>
              <w:rPr>
                <w:lang w:val="en-IE"/>
              </w:rPr>
            </w:pPr>
          </w:p>
          <w:p w14:paraId="6FFD2562" w14:textId="724C157A" w:rsidR="0044524E" w:rsidRPr="0059550D" w:rsidRDefault="0044524E" w:rsidP="00952D33">
            <w:pPr>
              <w:rPr>
                <w:lang w:val="en-IE"/>
              </w:rPr>
            </w:pPr>
            <w:r w:rsidRPr="0059550D">
              <w:rPr>
                <w:lang w:val="en-IE"/>
              </w:rPr>
              <w:lastRenderedPageBreak/>
              <w:t>Group Framework Estimated Maximum Value (BG-557)</w:t>
            </w:r>
          </w:p>
        </w:tc>
        <w:tc>
          <w:tcPr>
            <w:tcW w:w="892" w:type="pct"/>
            <w:shd w:val="clear" w:color="auto" w:fill="8DB3E2" w:themeFill="text2" w:themeFillTint="66"/>
            <w:vAlign w:val="center"/>
          </w:tcPr>
          <w:p w14:paraId="5D901B8F" w14:textId="607372B2" w:rsidR="005721A0" w:rsidRPr="0059550D" w:rsidRDefault="0044524E" w:rsidP="00952D33">
            <w:pPr>
              <w:rPr>
                <w:lang w:val="en-IE"/>
              </w:rPr>
            </w:pPr>
            <w:r w:rsidRPr="0059550D">
              <w:rPr>
                <w:lang w:val="en-IE"/>
              </w:rPr>
              <w:lastRenderedPageBreak/>
              <w:t xml:space="preserve">Information about the maximum or estimated value which can be spent, in a framework agreement, within a </w:t>
            </w:r>
            <w:r w:rsidRPr="0059550D">
              <w:rPr>
                <w:lang w:val="en-IE"/>
              </w:rPr>
              <w:lastRenderedPageBreak/>
              <w:t>group of lots. This information can be provided when the maximum value of a group of lots is lower than the sum of values of individual lots (e.g. when the same budget is shared for several lots).</w:t>
            </w:r>
          </w:p>
        </w:tc>
        <w:tc>
          <w:tcPr>
            <w:tcW w:w="3022" w:type="pct"/>
          </w:tcPr>
          <w:p w14:paraId="2FFF703E" w14:textId="26D49501" w:rsidR="001D5B85" w:rsidRPr="0059550D" w:rsidRDefault="001D5B85" w:rsidP="00AB6DDE">
            <w:pPr>
              <w:rPr>
                <w:b/>
                <w:lang w:val="en-IE"/>
              </w:rPr>
            </w:pPr>
            <w:r w:rsidRPr="0059550D">
              <w:rPr>
                <w:b/>
                <w:lang w:val="en-IE"/>
              </w:rPr>
              <w:lastRenderedPageBreak/>
              <w:t>Reasons for Mandatory or Optional</w:t>
            </w:r>
          </w:p>
          <w:p w14:paraId="60D59F3E" w14:textId="3EABC648" w:rsidR="007310CB" w:rsidRPr="0059550D" w:rsidRDefault="00FC27D8" w:rsidP="00843CC2">
            <w:pPr>
              <w:rPr>
                <w:iCs/>
                <w:szCs w:val="24"/>
                <w:lang w:val="en-IE" w:eastAsia="en-GB"/>
              </w:rPr>
            </w:pPr>
            <w:r w:rsidRPr="0059550D">
              <w:rPr>
                <w:lang w:val="en-IE"/>
              </w:rPr>
              <w:t xml:space="preserve">For certain framework agreements, providing (estimated) value per lot does not give accurate information. This is the case for </w:t>
            </w:r>
            <w:r w:rsidR="001D5B85" w:rsidRPr="0059550D">
              <w:rPr>
                <w:iCs/>
                <w:szCs w:val="24"/>
                <w:lang w:val="en-IE" w:eastAsia="en-GB"/>
              </w:rPr>
              <w:t>framework contracts</w:t>
            </w:r>
            <w:r w:rsidRPr="0059550D">
              <w:rPr>
                <w:iCs/>
                <w:szCs w:val="24"/>
                <w:lang w:val="en-IE" w:eastAsia="en-GB"/>
              </w:rPr>
              <w:t xml:space="preserve"> where </w:t>
            </w:r>
            <w:r w:rsidR="001D5B85" w:rsidRPr="0059550D">
              <w:rPr>
                <w:iCs/>
                <w:szCs w:val="24"/>
                <w:lang w:val="en-IE" w:eastAsia="en-GB"/>
              </w:rPr>
              <w:t xml:space="preserve">funds can be shared across several lots. For example, Lot 1 may be about purchases of Medicine A and have a maximum value of 1 million, Lot 2 about Medicine B and have also a maximum value of 1 </w:t>
            </w:r>
            <w:r w:rsidRPr="0059550D">
              <w:rPr>
                <w:iCs/>
                <w:szCs w:val="24"/>
                <w:lang w:val="en-IE" w:eastAsia="en-GB"/>
              </w:rPr>
              <w:lastRenderedPageBreak/>
              <w:t xml:space="preserve">million, while a hospital has an overall </w:t>
            </w:r>
            <w:r w:rsidR="001D5B85" w:rsidRPr="0059550D">
              <w:rPr>
                <w:iCs/>
                <w:szCs w:val="24"/>
                <w:lang w:val="en-IE" w:eastAsia="en-GB"/>
              </w:rPr>
              <w:t xml:space="preserve">budget </w:t>
            </w:r>
            <w:r w:rsidRPr="0059550D">
              <w:rPr>
                <w:iCs/>
                <w:szCs w:val="24"/>
                <w:lang w:val="en-IE" w:eastAsia="en-GB"/>
              </w:rPr>
              <w:t xml:space="preserve">for </w:t>
            </w:r>
            <w:r w:rsidR="001D5B85" w:rsidRPr="0059550D">
              <w:rPr>
                <w:iCs/>
                <w:szCs w:val="24"/>
                <w:lang w:val="en-IE" w:eastAsia="en-GB"/>
              </w:rPr>
              <w:t>medicine of 1.5 million and a policy of purchasing medicine in response to actual demand. If values at lot level were taken at face value, this would mean double counting some of the actual/potential spending (i.e. 2 million instead of 1.5).</w:t>
            </w:r>
            <w:r w:rsidRPr="0059550D">
              <w:rPr>
                <w:iCs/>
                <w:szCs w:val="24"/>
                <w:lang w:val="en-IE" w:eastAsia="en-GB"/>
              </w:rPr>
              <w:t xml:space="preserve"> This field is likely to be used mainly by </w:t>
            </w:r>
            <w:r w:rsidRPr="00D37C5C">
              <w:rPr>
                <w:iCs/>
                <w:strike/>
                <w:szCs w:val="24"/>
                <w:lang w:val="en-IE" w:eastAsia="en-GB"/>
              </w:rPr>
              <w:t>highly-professional</w:t>
            </w:r>
            <w:r w:rsidRPr="0059550D">
              <w:rPr>
                <w:iCs/>
                <w:szCs w:val="24"/>
                <w:lang w:val="en-IE" w:eastAsia="en-GB"/>
              </w:rPr>
              <w:t xml:space="preserve"> buyers running large framework agreements</w:t>
            </w:r>
            <w:r w:rsidR="00843CC2">
              <w:rPr>
                <w:rStyle w:val="FootnoteReference"/>
                <w:iCs/>
                <w:szCs w:val="24"/>
                <w:lang w:val="en-IE" w:eastAsia="en-GB"/>
              </w:rPr>
              <w:footnoteReference w:id="86"/>
            </w:r>
            <w:r w:rsidRPr="0059550D">
              <w:rPr>
                <w:iCs/>
                <w:szCs w:val="24"/>
                <w:lang w:val="en-IE" w:eastAsia="en-GB"/>
              </w:rPr>
              <w:t xml:space="preserve">. </w:t>
            </w:r>
          </w:p>
          <w:p w14:paraId="4CD7D78A" w14:textId="6110AD9A" w:rsidR="00FC27D8" w:rsidRPr="0059550D" w:rsidRDefault="00FC27D8" w:rsidP="00FC27D8">
            <w:pPr>
              <w:rPr>
                <w:iCs/>
                <w:szCs w:val="24"/>
                <w:lang w:val="en-IE" w:eastAsia="en-GB"/>
              </w:rPr>
            </w:pPr>
          </w:p>
          <w:p w14:paraId="7EE1CB03" w14:textId="4EDA769B" w:rsidR="007310CB" w:rsidRPr="007310CB" w:rsidRDefault="00FC27D8" w:rsidP="00FC27D8">
            <w:pPr>
              <w:rPr>
                <w:lang w:val="en-IE"/>
              </w:rPr>
            </w:pPr>
            <w:r w:rsidRPr="0059550D">
              <w:rPr>
                <w:lang w:val="en-IE"/>
              </w:rPr>
              <w:t xml:space="preserve">Additionally, for BG-557, the same considerations apply as for </w:t>
            </w:r>
            <w:r w:rsidR="008A6344" w:rsidRPr="0059550D">
              <w:rPr>
                <w:lang w:val="en-IE"/>
              </w:rPr>
              <w:t>Estimated Value (</w:t>
            </w:r>
            <w:r w:rsidRPr="0059550D">
              <w:rPr>
                <w:lang w:val="en-IE"/>
              </w:rPr>
              <w:t>BT-27</w:t>
            </w:r>
            <w:r w:rsidR="008A6344" w:rsidRPr="0059550D">
              <w:rPr>
                <w:lang w:val="en-IE"/>
              </w:rPr>
              <w:t>)</w:t>
            </w:r>
            <w:r w:rsidRPr="0059550D">
              <w:rPr>
                <w:lang w:val="en-IE"/>
              </w:rPr>
              <w:t>, because both fields concern estimated values.</w:t>
            </w:r>
          </w:p>
          <w:p w14:paraId="69932C91" w14:textId="0FBA5673" w:rsidR="001D5B85" w:rsidRPr="0059550D" w:rsidRDefault="001D5B85" w:rsidP="00AB6DDE">
            <w:pPr>
              <w:rPr>
                <w:b/>
                <w:lang w:val="en-IE"/>
              </w:rPr>
            </w:pPr>
          </w:p>
          <w:p w14:paraId="7A932B9A" w14:textId="507FD23B" w:rsidR="00FC27D8" w:rsidRPr="0059550D" w:rsidRDefault="00FC27D8" w:rsidP="00AB6DDE">
            <w:pPr>
              <w:rPr>
                <w:b/>
                <w:lang w:val="en-IE"/>
              </w:rPr>
            </w:pPr>
            <w:r w:rsidRPr="0059550D">
              <w:rPr>
                <w:b/>
                <w:lang w:val="en-IE"/>
              </w:rPr>
              <w:t>Reasons for Unused</w:t>
            </w:r>
          </w:p>
          <w:p w14:paraId="7C7E19A2" w14:textId="5AD95FF1" w:rsidR="00B87832" w:rsidRPr="0059550D" w:rsidRDefault="00FC27D8" w:rsidP="00B87832">
            <w:pPr>
              <w:rPr>
                <w:lang w:val="en-IE"/>
              </w:rPr>
            </w:pPr>
            <w:r w:rsidRPr="0059550D">
              <w:rPr>
                <w:lang w:val="en-IE"/>
              </w:rPr>
              <w:t xml:space="preserve">If the users do not run framework agreements with shared budget, this field is not useful. </w:t>
            </w:r>
          </w:p>
        </w:tc>
      </w:tr>
      <w:tr w:rsidR="005721A0" w:rsidRPr="0059550D" w14:paraId="687BF0D0" w14:textId="77777777" w:rsidTr="008D6040">
        <w:tc>
          <w:tcPr>
            <w:tcW w:w="263" w:type="pct"/>
            <w:shd w:val="clear" w:color="auto" w:fill="8DB3E2" w:themeFill="text2" w:themeFillTint="66"/>
            <w:vAlign w:val="center"/>
          </w:tcPr>
          <w:p w14:paraId="0B4F13B5" w14:textId="31411B75" w:rsidR="005721A0" w:rsidRPr="0059550D" w:rsidRDefault="00832D5D" w:rsidP="00AB6DDE">
            <w:pPr>
              <w:jc w:val="center"/>
              <w:rPr>
                <w:lang w:val="en-IE"/>
              </w:rPr>
            </w:pPr>
            <w:r>
              <w:rPr>
                <w:lang w:val="en-IE"/>
              </w:rPr>
              <w:lastRenderedPageBreak/>
              <w:t>25</w:t>
            </w:r>
          </w:p>
        </w:tc>
        <w:tc>
          <w:tcPr>
            <w:tcW w:w="823" w:type="pct"/>
            <w:shd w:val="clear" w:color="auto" w:fill="8DB3E2" w:themeFill="text2" w:themeFillTint="66"/>
            <w:vAlign w:val="center"/>
          </w:tcPr>
          <w:p w14:paraId="29F151CD" w14:textId="77777777" w:rsidR="005721A0" w:rsidRPr="0059550D" w:rsidRDefault="005721A0" w:rsidP="00952D33">
            <w:pPr>
              <w:rPr>
                <w:lang w:val="en-IE"/>
              </w:rPr>
            </w:pPr>
            <w:r w:rsidRPr="0059550D">
              <w:rPr>
                <w:lang w:val="en-IE"/>
              </w:rPr>
              <w:t xml:space="preserve">Framework Maximum Value (BT-709) </w:t>
            </w:r>
            <w:r w:rsidRPr="0059550D">
              <w:rPr>
                <w:lang w:val="en-IE"/>
              </w:rPr>
              <w:br/>
            </w:r>
          </w:p>
          <w:p w14:paraId="73B3B821" w14:textId="30A5273E" w:rsidR="005721A0" w:rsidRPr="0059550D" w:rsidRDefault="005721A0" w:rsidP="005721A0">
            <w:pPr>
              <w:rPr>
                <w:lang w:val="en-IE"/>
              </w:rPr>
            </w:pPr>
            <w:r w:rsidRPr="0059550D">
              <w:rPr>
                <w:lang w:val="en-IE"/>
              </w:rPr>
              <w:t xml:space="preserve">&amp; </w:t>
            </w:r>
            <w:r w:rsidRPr="0059550D">
              <w:rPr>
                <w:lang w:val="en-IE"/>
              </w:rPr>
              <w:br/>
            </w:r>
            <w:r w:rsidRPr="0059550D">
              <w:rPr>
                <w:lang w:val="en-IE"/>
              </w:rPr>
              <w:br/>
              <w:t>Framework Estimated Value (BT-660)</w:t>
            </w:r>
          </w:p>
        </w:tc>
        <w:tc>
          <w:tcPr>
            <w:tcW w:w="892" w:type="pct"/>
            <w:shd w:val="clear" w:color="auto" w:fill="8DB3E2" w:themeFill="text2" w:themeFillTint="66"/>
            <w:vAlign w:val="center"/>
          </w:tcPr>
          <w:p w14:paraId="52C948A3" w14:textId="7CC4D26F" w:rsidR="005721A0" w:rsidRPr="0059550D" w:rsidRDefault="005721A0" w:rsidP="00952D33">
            <w:pPr>
              <w:rPr>
                <w:lang w:val="en-IE"/>
              </w:rPr>
            </w:pPr>
            <w:r w:rsidRPr="0059550D">
              <w:rPr>
                <w:lang w:val="en-IE"/>
              </w:rPr>
              <w:t xml:space="preserve">“The maximum value which can be spent within a framework agreement over its whole duration, including options and renewals.” </w:t>
            </w:r>
            <w:r w:rsidRPr="0059550D">
              <w:rPr>
                <w:lang w:val="en-IE"/>
              </w:rPr>
              <w:br/>
            </w:r>
            <w:r w:rsidRPr="0059550D">
              <w:rPr>
                <w:lang w:val="en-IE"/>
              </w:rPr>
              <w:br/>
              <w:t xml:space="preserve">&amp; </w:t>
            </w:r>
          </w:p>
          <w:p w14:paraId="4D37FBB8" w14:textId="77777777" w:rsidR="005721A0" w:rsidRPr="0059550D" w:rsidRDefault="005721A0" w:rsidP="00952D33">
            <w:pPr>
              <w:rPr>
                <w:lang w:val="en-IE"/>
              </w:rPr>
            </w:pPr>
          </w:p>
          <w:p w14:paraId="50ABBEBA" w14:textId="2CE88DA6" w:rsidR="005721A0" w:rsidRPr="0059550D" w:rsidRDefault="005721A0" w:rsidP="00952D33">
            <w:pPr>
              <w:rPr>
                <w:lang w:val="en-IE"/>
              </w:rPr>
            </w:pPr>
            <w:r w:rsidRPr="0059550D">
              <w:rPr>
                <w:lang w:val="en-IE"/>
              </w:rPr>
              <w:t>“The estimated value which will be spent within a framework agreement over its whole duration, including options and renewals.”</w:t>
            </w:r>
          </w:p>
        </w:tc>
        <w:tc>
          <w:tcPr>
            <w:tcW w:w="3022" w:type="pct"/>
          </w:tcPr>
          <w:p w14:paraId="40E3A638" w14:textId="1A2CA4BC" w:rsidR="00C06B3B" w:rsidRPr="0059550D" w:rsidRDefault="00C06B3B" w:rsidP="00AB6DDE">
            <w:pPr>
              <w:rPr>
                <w:b/>
                <w:lang w:val="en-IE"/>
              </w:rPr>
            </w:pPr>
            <w:r w:rsidRPr="0059550D">
              <w:rPr>
                <w:b/>
                <w:lang w:val="en-IE"/>
              </w:rPr>
              <w:t>Reasons for Mandatory (in case of framework agreements)</w:t>
            </w:r>
          </w:p>
          <w:p w14:paraId="0FDEFA81" w14:textId="26FFDD90" w:rsidR="005721A0" w:rsidRPr="0059550D" w:rsidRDefault="005721A0" w:rsidP="00AB6DDE">
            <w:pPr>
              <w:rPr>
                <w:lang w:val="en-IE"/>
              </w:rPr>
            </w:pPr>
            <w:r w:rsidRPr="0059550D">
              <w:rPr>
                <w:lang w:val="en-IE"/>
              </w:rPr>
              <w:t xml:space="preserve">Framework must have </w:t>
            </w:r>
            <w:r w:rsidR="00C06B3B" w:rsidRPr="0059550D">
              <w:rPr>
                <w:lang w:val="en-IE"/>
              </w:rPr>
              <w:t xml:space="preserve">estimated </w:t>
            </w:r>
            <w:r w:rsidRPr="0059550D">
              <w:rPr>
                <w:lang w:val="en-IE"/>
              </w:rPr>
              <w:t xml:space="preserve">values like any other contracts. However, </w:t>
            </w:r>
            <w:r w:rsidR="00C06B3B" w:rsidRPr="0059550D">
              <w:rPr>
                <w:lang w:val="en-IE"/>
              </w:rPr>
              <w:t xml:space="preserve">in some countries, maximum values are used instead of estimated. Depending on national practice legislation, one or the other field should be used. </w:t>
            </w:r>
          </w:p>
          <w:p w14:paraId="17A2A324" w14:textId="3111C628" w:rsidR="00D02440" w:rsidRPr="0059550D" w:rsidRDefault="00D02440" w:rsidP="00AB6DDE">
            <w:pPr>
              <w:rPr>
                <w:lang w:val="en-IE"/>
              </w:rPr>
            </w:pPr>
          </w:p>
          <w:p w14:paraId="6E202FD0" w14:textId="77777777" w:rsidR="005721A0" w:rsidRPr="0059550D" w:rsidRDefault="00D02440" w:rsidP="00D02440">
            <w:pPr>
              <w:rPr>
                <w:lang w:val="en-IE"/>
              </w:rPr>
            </w:pPr>
            <w:r w:rsidRPr="0059550D">
              <w:rPr>
                <w:lang w:val="en-IE"/>
              </w:rPr>
              <w:t>Regardless of the field that is used, the sum of all lots for the whole procedure (if the procedure is split into lots) must be equal to Notice Framework Value (BT-118).</w:t>
            </w:r>
          </w:p>
          <w:p w14:paraId="4F8F407C" w14:textId="77777777" w:rsidR="00C06B3B" w:rsidRPr="0059550D" w:rsidRDefault="00C06B3B" w:rsidP="00D02440">
            <w:pPr>
              <w:rPr>
                <w:lang w:val="en-IE"/>
              </w:rPr>
            </w:pPr>
          </w:p>
          <w:p w14:paraId="2049D7D8" w14:textId="5348C4E1" w:rsidR="00C06B3B" w:rsidRPr="0059550D" w:rsidRDefault="00C06B3B" w:rsidP="00D02440">
            <w:pPr>
              <w:rPr>
                <w:b/>
                <w:lang w:val="en-IE"/>
              </w:rPr>
            </w:pPr>
            <w:r w:rsidRPr="0059550D">
              <w:rPr>
                <w:b/>
                <w:lang w:val="en-IE"/>
              </w:rPr>
              <w:t>Reasons for Optional or Unused</w:t>
            </w:r>
          </w:p>
          <w:p w14:paraId="67C0BF68" w14:textId="2FAD86F5" w:rsidR="00C06B3B" w:rsidRPr="0059550D" w:rsidRDefault="00C06B3B" w:rsidP="00D02440">
            <w:pPr>
              <w:rPr>
                <w:lang w:val="en-IE"/>
              </w:rPr>
            </w:pPr>
            <w:r w:rsidRPr="0059550D">
              <w:rPr>
                <w:lang w:val="en-IE"/>
              </w:rPr>
              <w:t>None.</w:t>
            </w:r>
          </w:p>
        </w:tc>
      </w:tr>
      <w:tr w:rsidR="00AB6DDE" w:rsidRPr="0059550D" w14:paraId="06FD2A72" w14:textId="77777777" w:rsidTr="008D6040">
        <w:tc>
          <w:tcPr>
            <w:tcW w:w="263" w:type="pct"/>
            <w:shd w:val="clear" w:color="auto" w:fill="8DB3E2" w:themeFill="text2" w:themeFillTint="66"/>
            <w:vAlign w:val="center"/>
          </w:tcPr>
          <w:p w14:paraId="3241230C" w14:textId="486DB046" w:rsidR="00AB6DDE" w:rsidRPr="0059550D" w:rsidRDefault="00832D5D" w:rsidP="00AB6DDE">
            <w:pPr>
              <w:jc w:val="center"/>
              <w:rPr>
                <w:i/>
                <w:szCs w:val="24"/>
                <w:lang w:val="en-IE"/>
              </w:rPr>
            </w:pPr>
            <w:r>
              <w:rPr>
                <w:i/>
                <w:szCs w:val="24"/>
                <w:lang w:val="en-IE"/>
              </w:rPr>
              <w:t>26</w:t>
            </w:r>
          </w:p>
        </w:tc>
        <w:tc>
          <w:tcPr>
            <w:tcW w:w="823" w:type="pct"/>
            <w:shd w:val="clear" w:color="auto" w:fill="8DB3E2" w:themeFill="text2" w:themeFillTint="66"/>
            <w:vAlign w:val="center"/>
          </w:tcPr>
          <w:p w14:paraId="2B370D3E" w14:textId="28641370" w:rsidR="00AB6DDE" w:rsidRPr="0059550D" w:rsidRDefault="00AB6DDE" w:rsidP="00952D33">
            <w:pPr>
              <w:rPr>
                <w:lang w:val="en-IE"/>
              </w:rPr>
            </w:pPr>
            <w:r w:rsidRPr="0059550D">
              <w:rPr>
                <w:szCs w:val="24"/>
                <w:lang w:val="en-IE"/>
              </w:rPr>
              <w:t xml:space="preserve">Country Origin </w:t>
            </w:r>
            <w:r w:rsidR="00B34DD6" w:rsidRPr="0059550D">
              <w:rPr>
                <w:szCs w:val="24"/>
                <w:lang w:val="en-IE"/>
              </w:rPr>
              <w:br/>
            </w:r>
            <w:r w:rsidRPr="0059550D">
              <w:rPr>
                <w:szCs w:val="24"/>
                <w:lang w:val="en-IE"/>
              </w:rPr>
              <w:lastRenderedPageBreak/>
              <w:t>(BT-191)</w:t>
            </w:r>
          </w:p>
        </w:tc>
        <w:tc>
          <w:tcPr>
            <w:tcW w:w="892" w:type="pct"/>
            <w:shd w:val="clear" w:color="auto" w:fill="8DB3E2" w:themeFill="text2" w:themeFillTint="66"/>
            <w:vAlign w:val="center"/>
          </w:tcPr>
          <w:p w14:paraId="7A03C71B" w14:textId="5D7CA020" w:rsidR="00AB6DDE" w:rsidRPr="0059550D" w:rsidRDefault="00AB6DDE" w:rsidP="00952D33">
            <w:pPr>
              <w:rPr>
                <w:lang w:val="en-IE"/>
              </w:rPr>
            </w:pPr>
            <w:r w:rsidRPr="0059550D">
              <w:rPr>
                <w:lang w:val="en-IE"/>
              </w:rPr>
              <w:lastRenderedPageBreak/>
              <w:t>“</w:t>
            </w:r>
            <w:r w:rsidRPr="00EB186D">
              <w:rPr>
                <w:i/>
                <w:lang w:val="en-IE"/>
              </w:rPr>
              <w:t xml:space="preserve">A country of origin of </w:t>
            </w:r>
            <w:r w:rsidRPr="00EB186D">
              <w:rPr>
                <w:i/>
                <w:lang w:val="en-IE"/>
              </w:rPr>
              <w:lastRenderedPageBreak/>
              <w:t>the product or the service.”</w:t>
            </w:r>
            <w:r w:rsidRPr="0059550D">
              <w:rPr>
                <w:lang w:val="en-IE"/>
              </w:rPr>
              <w:t xml:space="preserve"> </w:t>
            </w:r>
          </w:p>
        </w:tc>
        <w:tc>
          <w:tcPr>
            <w:tcW w:w="3022" w:type="pct"/>
          </w:tcPr>
          <w:p w14:paraId="1117E0AB" w14:textId="77777777" w:rsidR="00AB6DDE" w:rsidRPr="0059550D" w:rsidRDefault="00AB6DDE" w:rsidP="00AB6DDE">
            <w:pPr>
              <w:rPr>
                <w:szCs w:val="24"/>
                <w:lang w:val="en-IE"/>
              </w:rPr>
            </w:pPr>
            <w:r w:rsidRPr="0059550D">
              <w:rPr>
                <w:b/>
                <w:lang w:val="en-IE"/>
              </w:rPr>
              <w:lastRenderedPageBreak/>
              <w:t>Reasons for Mandatory or Optional</w:t>
            </w:r>
          </w:p>
          <w:p w14:paraId="5C12A8F5" w14:textId="77777777" w:rsidR="00AB6DDE" w:rsidRPr="0059550D" w:rsidRDefault="00AB6DDE" w:rsidP="00AB6DDE">
            <w:pPr>
              <w:rPr>
                <w:iCs/>
                <w:szCs w:val="24"/>
                <w:lang w:val="en-IE" w:eastAsia="en-GB"/>
              </w:rPr>
            </w:pPr>
            <w:r w:rsidRPr="0059550D">
              <w:rPr>
                <w:iCs/>
                <w:szCs w:val="24"/>
                <w:lang w:val="en-IE" w:eastAsia="en-GB"/>
              </w:rPr>
              <w:lastRenderedPageBreak/>
              <w:t>None.</w:t>
            </w:r>
          </w:p>
          <w:p w14:paraId="52E8989E" w14:textId="77777777" w:rsidR="00AB6DDE" w:rsidRPr="0059550D" w:rsidRDefault="00AB6DDE" w:rsidP="00AB6DDE">
            <w:pPr>
              <w:rPr>
                <w:iCs/>
                <w:szCs w:val="24"/>
                <w:lang w:val="en-IE" w:eastAsia="en-GB"/>
              </w:rPr>
            </w:pPr>
          </w:p>
          <w:p w14:paraId="18D578F0" w14:textId="77777777" w:rsidR="00AB6DDE" w:rsidRPr="0059550D" w:rsidRDefault="00AB6DDE" w:rsidP="00AB6DDE">
            <w:pPr>
              <w:rPr>
                <w:iCs/>
                <w:szCs w:val="24"/>
                <w:lang w:val="en-IE" w:eastAsia="en-GB"/>
              </w:rPr>
            </w:pPr>
            <w:r w:rsidRPr="0059550D">
              <w:rPr>
                <w:b/>
                <w:lang w:val="en-IE"/>
              </w:rPr>
              <w:t>Reasons for Unused</w:t>
            </w:r>
          </w:p>
          <w:p w14:paraId="4E054903" w14:textId="77777777" w:rsidR="005E7089" w:rsidRDefault="00E1594E" w:rsidP="005E7089">
            <w:pPr>
              <w:rPr>
                <w:iCs/>
                <w:strike/>
                <w:szCs w:val="24"/>
                <w:lang w:val="en-IE" w:eastAsia="en-GB"/>
              </w:rPr>
            </w:pPr>
            <w:r w:rsidRPr="0059550D">
              <w:rPr>
                <w:iCs/>
                <w:szCs w:val="24"/>
                <w:lang w:val="en-IE" w:eastAsia="en-GB"/>
              </w:rPr>
              <w:t xml:space="preserve">Most contemporary goods are a product of global value chain, where establishing a country of origin </w:t>
            </w:r>
            <w:r w:rsidR="00551918">
              <w:rPr>
                <w:iCs/>
                <w:szCs w:val="24"/>
                <w:lang w:val="en-IE" w:eastAsia="en-GB"/>
              </w:rPr>
              <w:t xml:space="preserve">can be </w:t>
            </w:r>
            <w:r w:rsidRPr="0059550D">
              <w:rPr>
                <w:iCs/>
                <w:szCs w:val="24"/>
                <w:lang w:val="en-IE" w:eastAsia="en-GB"/>
              </w:rPr>
              <w:t>complex</w:t>
            </w:r>
            <w:r w:rsidRPr="0059550D">
              <w:rPr>
                <w:rStyle w:val="FootnoteReference"/>
                <w:iCs/>
                <w:szCs w:val="24"/>
                <w:lang w:val="en-IE" w:eastAsia="en-GB"/>
              </w:rPr>
              <w:footnoteReference w:id="87"/>
            </w:r>
            <w:r w:rsidRPr="0059550D">
              <w:rPr>
                <w:iCs/>
                <w:szCs w:val="24"/>
                <w:lang w:val="en-IE" w:eastAsia="en-GB"/>
              </w:rPr>
              <w:t xml:space="preserve">. </w:t>
            </w:r>
          </w:p>
          <w:p w14:paraId="7DFA50DD" w14:textId="07F49BAF" w:rsidR="005E7089" w:rsidRPr="005E7089" w:rsidRDefault="005E7089" w:rsidP="005E7089">
            <w:pPr>
              <w:rPr>
                <w:iCs/>
                <w:strike/>
                <w:szCs w:val="24"/>
                <w:lang w:val="en-IE" w:eastAsia="en-GB"/>
              </w:rPr>
            </w:pPr>
          </w:p>
        </w:tc>
      </w:tr>
      <w:tr w:rsidR="00AB01AA" w:rsidRPr="0059550D" w14:paraId="1E15925C" w14:textId="77777777" w:rsidTr="008D6040">
        <w:tc>
          <w:tcPr>
            <w:tcW w:w="263" w:type="pct"/>
            <w:shd w:val="clear" w:color="auto" w:fill="8DB3E2" w:themeFill="text2" w:themeFillTint="66"/>
            <w:vAlign w:val="center"/>
          </w:tcPr>
          <w:p w14:paraId="1E631664" w14:textId="37EB35ED" w:rsidR="00AB01AA" w:rsidRPr="0059550D" w:rsidRDefault="00DF7757" w:rsidP="00AB6DDE">
            <w:pPr>
              <w:jc w:val="center"/>
              <w:rPr>
                <w:i/>
                <w:szCs w:val="24"/>
                <w:lang w:val="en-IE"/>
              </w:rPr>
            </w:pPr>
            <w:r>
              <w:rPr>
                <w:i/>
                <w:szCs w:val="24"/>
                <w:lang w:val="en-IE"/>
              </w:rPr>
              <w:lastRenderedPageBreak/>
              <w:t>27</w:t>
            </w:r>
          </w:p>
        </w:tc>
        <w:tc>
          <w:tcPr>
            <w:tcW w:w="823" w:type="pct"/>
            <w:shd w:val="clear" w:color="auto" w:fill="8DB3E2" w:themeFill="text2" w:themeFillTint="66"/>
            <w:vAlign w:val="center"/>
          </w:tcPr>
          <w:p w14:paraId="5A5EBA3E" w14:textId="566DC428" w:rsidR="00AB01AA" w:rsidRPr="0059550D" w:rsidRDefault="00AB01AA" w:rsidP="00952D33">
            <w:pPr>
              <w:rPr>
                <w:szCs w:val="24"/>
                <w:lang w:val="en-IE"/>
              </w:rPr>
            </w:pPr>
            <w:r>
              <w:rPr>
                <w:szCs w:val="24"/>
                <w:lang w:val="en-IE"/>
              </w:rPr>
              <w:t>Contract URL</w:t>
            </w:r>
            <w:r>
              <w:rPr>
                <w:szCs w:val="24"/>
                <w:lang w:val="en-IE"/>
              </w:rPr>
              <w:br/>
              <w:t>(BT-151)</w:t>
            </w:r>
          </w:p>
        </w:tc>
        <w:tc>
          <w:tcPr>
            <w:tcW w:w="892" w:type="pct"/>
            <w:shd w:val="clear" w:color="auto" w:fill="8DB3E2" w:themeFill="text2" w:themeFillTint="66"/>
            <w:vAlign w:val="center"/>
          </w:tcPr>
          <w:p w14:paraId="7F1BB409" w14:textId="2A865CFA" w:rsidR="00AB01AA" w:rsidRPr="0059550D" w:rsidRDefault="00AB01AA" w:rsidP="00952D33">
            <w:pPr>
              <w:rPr>
                <w:lang w:val="en-IE"/>
              </w:rPr>
            </w:pPr>
            <w:r>
              <w:rPr>
                <w:lang w:val="en-IE"/>
              </w:rPr>
              <w:t>“</w:t>
            </w:r>
            <w:r w:rsidRPr="00EB186D">
              <w:rPr>
                <w:i/>
                <w:lang w:val="en-IE"/>
              </w:rPr>
              <w:t>The uniform resource locator (e.g. the web address) of the contract</w:t>
            </w:r>
            <w:r w:rsidRPr="00AB01AA">
              <w:rPr>
                <w:lang w:val="en-IE"/>
              </w:rPr>
              <w:t>.</w:t>
            </w:r>
            <w:r>
              <w:rPr>
                <w:lang w:val="en-IE"/>
              </w:rPr>
              <w:t>”</w:t>
            </w:r>
          </w:p>
        </w:tc>
        <w:tc>
          <w:tcPr>
            <w:tcW w:w="3022" w:type="pct"/>
          </w:tcPr>
          <w:p w14:paraId="3E2BC7B7" w14:textId="06F8BD5D" w:rsidR="00785A1E" w:rsidRDefault="00785A1E" w:rsidP="00785A1E">
            <w:pPr>
              <w:pStyle w:val="NoSpacing"/>
              <w:rPr>
                <w:b/>
                <w:lang w:val="en-US"/>
              </w:rPr>
            </w:pPr>
            <w:r w:rsidRPr="00785A1E">
              <w:rPr>
                <w:b/>
                <w:lang w:val="en-US"/>
              </w:rPr>
              <w:t>Reasons for Mandatory</w:t>
            </w:r>
          </w:p>
          <w:p w14:paraId="19200E02" w14:textId="3EBFF9D5" w:rsidR="00AB01AA" w:rsidRDefault="00785A1E" w:rsidP="008A624A">
            <w:pPr>
              <w:pStyle w:val="NoSpacing"/>
              <w:rPr>
                <w:lang w:val="en-US"/>
              </w:rPr>
            </w:pPr>
            <w:r>
              <w:rPr>
                <w:lang w:val="en-US"/>
              </w:rPr>
              <w:t xml:space="preserve">In countries </w:t>
            </w:r>
            <w:r w:rsidR="002214A0">
              <w:rPr>
                <w:lang w:val="en-US"/>
              </w:rPr>
              <w:t xml:space="preserve">where contract publication is mandatory, this URL is used to link from the notice to the contact. This is the case regardless of whether the contracts are hosted on the same or different platform as national notices, because even if it is the same platform, the URL is necessary to be able to access it from TED. </w:t>
            </w:r>
            <w:r>
              <w:rPr>
                <w:lang w:val="en-US"/>
              </w:rPr>
              <w:t>(If the c</w:t>
            </w:r>
            <w:r w:rsidRPr="00785A1E">
              <w:rPr>
                <w:lang w:val="en-US"/>
              </w:rPr>
              <w:t xml:space="preserve">ontract contains structured meta-data, then these can be used to </w:t>
            </w:r>
            <w:r w:rsidR="008A624A">
              <w:rPr>
                <w:lang w:val="en-US"/>
              </w:rPr>
              <w:t>pre</w:t>
            </w:r>
            <w:r w:rsidRPr="00785A1E">
              <w:rPr>
                <w:lang w:val="en-US"/>
              </w:rPr>
              <w:t>fill in the form.</w:t>
            </w:r>
            <w:r w:rsidR="008A624A">
              <w:rPr>
                <w:lang w:val="en-US"/>
              </w:rPr>
              <w:t>)</w:t>
            </w:r>
          </w:p>
          <w:p w14:paraId="3E74858A" w14:textId="77777777" w:rsidR="008A624A" w:rsidRDefault="008A624A" w:rsidP="008A624A">
            <w:pPr>
              <w:pStyle w:val="NoSpacing"/>
              <w:rPr>
                <w:lang w:val="en-US"/>
              </w:rPr>
            </w:pPr>
          </w:p>
          <w:p w14:paraId="249B9628" w14:textId="77777777" w:rsidR="008A624A" w:rsidRPr="008A624A" w:rsidRDefault="008A624A" w:rsidP="008A624A">
            <w:pPr>
              <w:pStyle w:val="NoSpacing"/>
              <w:rPr>
                <w:b/>
                <w:lang w:val="en-US"/>
              </w:rPr>
            </w:pPr>
            <w:r w:rsidRPr="008A624A">
              <w:rPr>
                <w:b/>
                <w:lang w:val="en-US"/>
              </w:rPr>
              <w:t>Reasons for Optional</w:t>
            </w:r>
          </w:p>
          <w:p w14:paraId="586F4F84" w14:textId="77777777" w:rsidR="008A624A" w:rsidRPr="008A624A" w:rsidRDefault="008A624A" w:rsidP="008A624A">
            <w:pPr>
              <w:pStyle w:val="NoSpacing"/>
              <w:rPr>
                <w:lang w:val="en-IE"/>
              </w:rPr>
            </w:pPr>
            <w:r w:rsidRPr="008A624A">
              <w:rPr>
                <w:lang w:val="en-IE"/>
              </w:rPr>
              <w:t>This can be used for example if some buyers publish contracts on their websites, but some do not.</w:t>
            </w:r>
          </w:p>
          <w:p w14:paraId="14E8E231" w14:textId="77777777" w:rsidR="008A624A" w:rsidRDefault="008A624A" w:rsidP="008A624A">
            <w:pPr>
              <w:pStyle w:val="NoSpacing"/>
              <w:rPr>
                <w:b/>
                <w:lang w:val="en-IE"/>
              </w:rPr>
            </w:pPr>
          </w:p>
          <w:p w14:paraId="564BF081" w14:textId="77777777" w:rsidR="008A624A" w:rsidRDefault="008A624A" w:rsidP="008A624A">
            <w:pPr>
              <w:pStyle w:val="NoSpacing"/>
              <w:rPr>
                <w:b/>
                <w:lang w:val="en-IE"/>
              </w:rPr>
            </w:pPr>
            <w:r w:rsidRPr="008A624A">
              <w:rPr>
                <w:b/>
                <w:lang w:val="en-IE"/>
              </w:rPr>
              <w:t>Reasons for Unused</w:t>
            </w:r>
          </w:p>
          <w:p w14:paraId="64D6C377" w14:textId="7E4D3BF4" w:rsidR="008A624A" w:rsidRPr="002214A0" w:rsidRDefault="002214A0" w:rsidP="002214A0">
            <w:pPr>
              <w:pStyle w:val="NoSpacing"/>
              <w:rPr>
                <w:lang w:val="en-IE"/>
              </w:rPr>
            </w:pPr>
            <w:r>
              <w:rPr>
                <w:lang w:val="en-IE"/>
              </w:rPr>
              <w:t xml:space="preserve">This field is not useful if contracts are never published at national level. </w:t>
            </w:r>
          </w:p>
        </w:tc>
      </w:tr>
      <w:tr w:rsidR="007E454B" w:rsidRPr="0059550D" w14:paraId="71DA64CD" w14:textId="77777777" w:rsidTr="008D6040">
        <w:tc>
          <w:tcPr>
            <w:tcW w:w="263" w:type="pct"/>
            <w:shd w:val="clear" w:color="auto" w:fill="8DB3E2" w:themeFill="text2" w:themeFillTint="66"/>
            <w:vAlign w:val="center"/>
          </w:tcPr>
          <w:p w14:paraId="7B3216FF" w14:textId="43FEFC1B" w:rsidR="007E454B" w:rsidRDefault="00DF7757" w:rsidP="00AB6DDE">
            <w:pPr>
              <w:jc w:val="center"/>
              <w:rPr>
                <w:i/>
                <w:szCs w:val="24"/>
                <w:lang w:val="en-IE"/>
              </w:rPr>
            </w:pPr>
            <w:r>
              <w:rPr>
                <w:i/>
                <w:szCs w:val="24"/>
                <w:lang w:val="en-IE"/>
              </w:rPr>
              <w:t>28</w:t>
            </w:r>
          </w:p>
        </w:tc>
        <w:tc>
          <w:tcPr>
            <w:tcW w:w="823" w:type="pct"/>
            <w:shd w:val="clear" w:color="auto" w:fill="8DB3E2" w:themeFill="text2" w:themeFillTint="66"/>
            <w:vAlign w:val="center"/>
          </w:tcPr>
          <w:p w14:paraId="10C5E4AF" w14:textId="77777777" w:rsidR="007E454B" w:rsidRDefault="006F50AE" w:rsidP="00952D33">
            <w:pPr>
              <w:rPr>
                <w:szCs w:val="24"/>
                <w:lang w:val="en-IE"/>
              </w:rPr>
            </w:pPr>
            <w:r w:rsidRPr="00367473">
              <w:rPr>
                <w:szCs w:val="24"/>
                <w:lang w:val="en-IE"/>
              </w:rPr>
              <w:t>Contract EU Funds Identifier</w:t>
            </w:r>
          </w:p>
          <w:p w14:paraId="4BA91CDD" w14:textId="2AD9A732" w:rsidR="006F50AE" w:rsidRPr="00367473" w:rsidRDefault="006F50AE" w:rsidP="00952D33">
            <w:pPr>
              <w:keepNext/>
              <w:keepLines/>
              <w:numPr>
                <w:ilvl w:val="4"/>
                <w:numId w:val="5"/>
              </w:numPr>
              <w:spacing w:before="200"/>
              <w:outlineLvl w:val="4"/>
              <w:rPr>
                <w:szCs w:val="24"/>
                <w:lang w:val="en-IE"/>
              </w:rPr>
            </w:pPr>
            <w:r>
              <w:rPr>
                <w:szCs w:val="24"/>
                <w:lang w:val="en-IE"/>
              </w:rPr>
              <w:t xml:space="preserve"> (BT-5011)</w:t>
            </w:r>
          </w:p>
        </w:tc>
        <w:tc>
          <w:tcPr>
            <w:tcW w:w="892" w:type="pct"/>
            <w:shd w:val="clear" w:color="auto" w:fill="8DB3E2" w:themeFill="text2" w:themeFillTint="66"/>
            <w:vAlign w:val="center"/>
          </w:tcPr>
          <w:p w14:paraId="05CEFDC2" w14:textId="77777777" w:rsidR="006F50AE" w:rsidRPr="006F50AE" w:rsidRDefault="006F50AE" w:rsidP="006F50AE">
            <w:pPr>
              <w:rPr>
                <w:i/>
                <w:lang w:val="en-IE"/>
              </w:rPr>
            </w:pPr>
            <w:r>
              <w:rPr>
                <w:i/>
                <w:lang w:val="en-IE"/>
              </w:rPr>
              <w:t>“</w:t>
            </w:r>
            <w:r w:rsidRPr="006F50AE">
              <w:rPr>
                <w:i/>
                <w:lang w:val="en-IE"/>
              </w:rPr>
              <w:t>An identifier of the European Union funds used</w:t>
            </w:r>
          </w:p>
          <w:p w14:paraId="377B3A9E" w14:textId="1F78073B" w:rsidR="006F50AE" w:rsidRPr="006F50AE" w:rsidRDefault="006F50AE" w:rsidP="006F50AE">
            <w:pPr>
              <w:rPr>
                <w:i/>
                <w:lang w:val="en-IE"/>
              </w:rPr>
            </w:pPr>
            <w:r w:rsidRPr="006F50AE">
              <w:rPr>
                <w:i/>
                <w:lang w:val="en-IE"/>
              </w:rPr>
              <w:t xml:space="preserve">to at least partially </w:t>
            </w:r>
            <w:r>
              <w:rPr>
                <w:i/>
                <w:lang w:val="en-IE"/>
              </w:rPr>
              <w:t xml:space="preserve">finance the contract. The </w:t>
            </w:r>
            <w:r w:rsidRPr="006F50AE">
              <w:rPr>
                <w:i/>
                <w:lang w:val="en-IE"/>
              </w:rPr>
              <w:t>most concrete information must be given (e.g.</w:t>
            </w:r>
            <w:r>
              <w:rPr>
                <w:i/>
                <w:lang w:val="en-IE"/>
              </w:rPr>
              <w:t xml:space="preserve"> </w:t>
            </w:r>
            <w:r w:rsidRPr="006F50AE">
              <w:rPr>
                <w:i/>
                <w:lang w:val="en-IE"/>
              </w:rPr>
              <w:t>about concrete projects,</w:t>
            </w:r>
          </w:p>
          <w:p w14:paraId="31C5173D" w14:textId="0D849292" w:rsidR="007E454B" w:rsidRPr="00EB186D" w:rsidRDefault="006F50AE" w:rsidP="006F50AE">
            <w:pPr>
              <w:rPr>
                <w:i/>
                <w:lang w:val="en-IE"/>
              </w:rPr>
            </w:pPr>
            <w:r w:rsidRPr="006F50AE">
              <w:rPr>
                <w:i/>
                <w:lang w:val="en-IE"/>
              </w:rPr>
              <w:lastRenderedPageBreak/>
              <w:t>not just operational programs.)</w:t>
            </w:r>
          </w:p>
        </w:tc>
        <w:tc>
          <w:tcPr>
            <w:tcW w:w="3022" w:type="pct"/>
          </w:tcPr>
          <w:p w14:paraId="3299E52E" w14:textId="77777777" w:rsidR="00A62A88" w:rsidRDefault="00A62A88" w:rsidP="00A62A88">
            <w:pPr>
              <w:rPr>
                <w:lang w:val="en-IE"/>
              </w:rPr>
            </w:pPr>
            <w:r w:rsidRPr="006F50AE">
              <w:rPr>
                <w:b/>
                <w:lang w:val="en-IE"/>
              </w:rPr>
              <w:lastRenderedPageBreak/>
              <w:t>Reason for Mandatory</w:t>
            </w:r>
            <w:r w:rsidRPr="002628B7">
              <w:rPr>
                <w:lang w:val="en-IE"/>
              </w:rPr>
              <w:t xml:space="preserve"> </w:t>
            </w:r>
          </w:p>
          <w:p w14:paraId="54F9F518" w14:textId="77777777" w:rsidR="00A62A88" w:rsidRDefault="00A62A88" w:rsidP="00A62A88">
            <w:pPr>
              <w:rPr>
                <w:lang w:val="en-IE"/>
              </w:rPr>
            </w:pPr>
            <w:r>
              <w:rPr>
                <w:lang w:val="en-IE"/>
              </w:rPr>
              <w:t xml:space="preserve">It </w:t>
            </w:r>
            <w:r w:rsidRPr="002628B7">
              <w:rPr>
                <w:lang w:val="en-IE"/>
              </w:rPr>
              <w:t>may be particularly useful in countries with large amounts of European Structural and Investment Funds (ESIF)</w:t>
            </w:r>
            <w:r>
              <w:rPr>
                <w:lang w:val="en-IE"/>
              </w:rPr>
              <w:t>. I</w:t>
            </w:r>
            <w:r w:rsidRPr="002628B7">
              <w:rPr>
                <w:lang w:val="en-IE"/>
              </w:rPr>
              <w:t>t can be used to link data on public pro</w:t>
            </w:r>
            <w:r>
              <w:rPr>
                <w:lang w:val="en-IE"/>
              </w:rPr>
              <w:t xml:space="preserve">curement and EU funded projects which </w:t>
            </w:r>
            <w:r w:rsidRPr="00DF1ACF">
              <w:rPr>
                <w:lang w:val="en-IE"/>
              </w:rPr>
              <w:t>can help identify barriers to spending EU funds (e.g. procedural problems in procurement procedures resulting in contracts that cannot be signed in time) as well as highlight possible risks (e.g. corruption &amp; collusion).</w:t>
            </w:r>
          </w:p>
          <w:p w14:paraId="143C7C54" w14:textId="77777777" w:rsidR="00A62A88" w:rsidRDefault="00A62A88" w:rsidP="00A62A88">
            <w:pPr>
              <w:rPr>
                <w:lang w:val="en-IE"/>
              </w:rPr>
            </w:pPr>
          </w:p>
          <w:p w14:paraId="6F7A577D" w14:textId="64D56003" w:rsidR="00A62A88" w:rsidRPr="00DF1ACF" w:rsidRDefault="006133F6" w:rsidP="00A62A88">
            <w:pPr>
              <w:rPr>
                <w:b/>
                <w:lang w:val="en-IE"/>
              </w:rPr>
            </w:pPr>
            <w:r>
              <w:rPr>
                <w:b/>
                <w:lang w:val="en-IE"/>
              </w:rPr>
              <w:t>Reason for Optional or U</w:t>
            </w:r>
            <w:r w:rsidR="00A62A88" w:rsidRPr="00DF1ACF">
              <w:rPr>
                <w:b/>
                <w:lang w:val="en-IE"/>
              </w:rPr>
              <w:t>nused</w:t>
            </w:r>
          </w:p>
          <w:p w14:paraId="437B405C" w14:textId="532D7A29" w:rsidR="00A62A88" w:rsidRPr="00DF1ACF" w:rsidRDefault="00A62A88" w:rsidP="00A62A88">
            <w:pPr>
              <w:rPr>
                <w:lang w:val="en-IE"/>
              </w:rPr>
            </w:pPr>
            <w:r>
              <w:rPr>
                <w:lang w:val="en-IE"/>
              </w:rPr>
              <w:t xml:space="preserve">In countries with </w:t>
            </w:r>
            <w:r w:rsidR="00A7238A">
              <w:rPr>
                <w:lang w:val="en-IE"/>
              </w:rPr>
              <w:t xml:space="preserve">a </w:t>
            </w:r>
            <w:r>
              <w:rPr>
                <w:lang w:val="en-IE"/>
              </w:rPr>
              <w:t xml:space="preserve">small </w:t>
            </w:r>
            <w:r w:rsidR="008658E4">
              <w:rPr>
                <w:lang w:val="en-IE"/>
              </w:rPr>
              <w:t xml:space="preserve">use </w:t>
            </w:r>
            <w:r>
              <w:rPr>
                <w:lang w:val="en-IE"/>
              </w:rPr>
              <w:t>of ESIF.</w:t>
            </w:r>
          </w:p>
          <w:p w14:paraId="7119478A" w14:textId="3F7DEAA4" w:rsidR="006F50AE" w:rsidRPr="006F50AE" w:rsidRDefault="006F50AE" w:rsidP="006F50AE">
            <w:pPr>
              <w:rPr>
                <w:b/>
                <w:lang w:val="en-IE"/>
              </w:rPr>
            </w:pPr>
          </w:p>
        </w:tc>
      </w:tr>
      <w:tr w:rsidR="009E44DC" w:rsidRPr="0059550D" w14:paraId="18B3388A" w14:textId="77777777" w:rsidTr="008D6040">
        <w:tc>
          <w:tcPr>
            <w:tcW w:w="263" w:type="pct"/>
            <w:shd w:val="clear" w:color="auto" w:fill="8DB3E2" w:themeFill="text2" w:themeFillTint="66"/>
            <w:vAlign w:val="center"/>
          </w:tcPr>
          <w:p w14:paraId="1360D05E" w14:textId="1BE543B1" w:rsidR="009E44DC" w:rsidRPr="0059550D" w:rsidRDefault="00832D5D" w:rsidP="00AB6DDE">
            <w:pPr>
              <w:jc w:val="center"/>
              <w:rPr>
                <w:i/>
                <w:szCs w:val="24"/>
                <w:lang w:val="en-IE"/>
              </w:rPr>
            </w:pPr>
            <w:r>
              <w:rPr>
                <w:i/>
                <w:szCs w:val="24"/>
                <w:lang w:val="en-IE"/>
              </w:rPr>
              <w:lastRenderedPageBreak/>
              <w:t>2</w:t>
            </w:r>
            <w:r w:rsidR="00DF7757">
              <w:rPr>
                <w:i/>
                <w:szCs w:val="24"/>
                <w:lang w:val="en-IE"/>
              </w:rPr>
              <w:t>9</w:t>
            </w:r>
          </w:p>
        </w:tc>
        <w:tc>
          <w:tcPr>
            <w:tcW w:w="823" w:type="pct"/>
            <w:shd w:val="clear" w:color="auto" w:fill="8DB3E2" w:themeFill="text2" w:themeFillTint="66"/>
            <w:vAlign w:val="center"/>
          </w:tcPr>
          <w:p w14:paraId="70B4621F" w14:textId="77777777" w:rsidR="009E44DC" w:rsidRDefault="009E44DC" w:rsidP="00952D33">
            <w:pPr>
              <w:rPr>
                <w:i/>
                <w:szCs w:val="24"/>
                <w:lang w:val="en-IE"/>
              </w:rPr>
            </w:pPr>
            <w:r w:rsidRPr="009E44DC">
              <w:rPr>
                <w:i/>
                <w:szCs w:val="24"/>
                <w:lang w:val="en-IE"/>
              </w:rPr>
              <w:t>Strategic Procurement Notice Section Identifier</w:t>
            </w:r>
          </w:p>
          <w:p w14:paraId="04266A30" w14:textId="6B75F822" w:rsidR="009E44DC" w:rsidRPr="0059550D" w:rsidRDefault="009E44DC" w:rsidP="00952D33">
            <w:pPr>
              <w:rPr>
                <w:i/>
                <w:szCs w:val="24"/>
                <w:lang w:val="en-IE"/>
              </w:rPr>
            </w:pPr>
            <w:r>
              <w:rPr>
                <w:i/>
                <w:szCs w:val="24"/>
                <w:lang w:val="en-IE"/>
              </w:rPr>
              <w:t xml:space="preserve">(BT-13721) </w:t>
            </w:r>
          </w:p>
        </w:tc>
        <w:tc>
          <w:tcPr>
            <w:tcW w:w="892" w:type="pct"/>
            <w:shd w:val="clear" w:color="auto" w:fill="8DB3E2" w:themeFill="text2" w:themeFillTint="66"/>
            <w:vAlign w:val="center"/>
          </w:tcPr>
          <w:p w14:paraId="50C46437" w14:textId="25891110" w:rsidR="009E44DC" w:rsidRPr="0059550D" w:rsidRDefault="009E44DC" w:rsidP="00952D33">
            <w:pPr>
              <w:rPr>
                <w:lang w:val="en-IE"/>
              </w:rPr>
            </w:pPr>
            <w:r w:rsidRPr="00EB186D">
              <w:rPr>
                <w:i/>
                <w:lang w:val="en-IE"/>
              </w:rPr>
              <w:t>“An identifier of one or more sections within this notice. The information in the strategic procurement section refers to this section or these sections</w:t>
            </w:r>
            <w:r w:rsidRPr="009E44DC">
              <w:rPr>
                <w:lang w:val="en-IE"/>
              </w:rPr>
              <w:t>.</w:t>
            </w:r>
            <w:r>
              <w:rPr>
                <w:lang w:val="en-IE"/>
              </w:rPr>
              <w:t>”</w:t>
            </w:r>
          </w:p>
        </w:tc>
        <w:tc>
          <w:tcPr>
            <w:tcW w:w="3022" w:type="pct"/>
          </w:tcPr>
          <w:p w14:paraId="64D25122" w14:textId="77777777" w:rsidR="009E44DC" w:rsidRDefault="009E44DC" w:rsidP="00AB6DDE">
            <w:pPr>
              <w:rPr>
                <w:b/>
                <w:lang w:val="en-IE"/>
              </w:rPr>
            </w:pPr>
            <w:r>
              <w:rPr>
                <w:b/>
                <w:lang w:val="en-IE"/>
              </w:rPr>
              <w:t>Reasons for Mandatory or Optional</w:t>
            </w:r>
          </w:p>
          <w:p w14:paraId="6E2AFFC9" w14:textId="6008CC35" w:rsidR="00680673" w:rsidRPr="009E44DC" w:rsidRDefault="009E44DC" w:rsidP="00AB6DDE">
            <w:pPr>
              <w:rPr>
                <w:lang w:val="en-IE"/>
              </w:rPr>
            </w:pPr>
            <w:r w:rsidRPr="009E44DC">
              <w:rPr>
                <w:lang w:val="en-IE"/>
              </w:rPr>
              <w:t xml:space="preserve">This </w:t>
            </w:r>
            <w:r>
              <w:rPr>
                <w:lang w:val="en-IE"/>
              </w:rPr>
              <w:t xml:space="preserve">field allows </w:t>
            </w:r>
            <w:r w:rsidR="00941E52">
              <w:rPr>
                <w:lang w:val="en-IE"/>
              </w:rPr>
              <w:t xml:space="preserve">specifying all other information </w:t>
            </w:r>
            <w:r w:rsidR="00F74315">
              <w:rPr>
                <w:lang w:val="en-IE"/>
              </w:rPr>
              <w:t xml:space="preserve">about strategic procurement per a section of a notice such as </w:t>
            </w:r>
            <w:r w:rsidR="00F74315" w:rsidRPr="00132C78">
              <w:rPr>
                <w:lang w:val="en-US"/>
              </w:rPr>
              <w:t>technical specification</w:t>
            </w:r>
            <w:r w:rsidR="00F74315">
              <w:rPr>
                <w:lang w:val="en-US"/>
              </w:rPr>
              <w:t>s</w:t>
            </w:r>
            <w:r w:rsidR="00F74315" w:rsidRPr="00132C78">
              <w:rPr>
                <w:lang w:val="en-US"/>
              </w:rPr>
              <w:t>, selection criterion, award criterion, or contract performance condition</w:t>
            </w:r>
            <w:r w:rsidR="00F74315">
              <w:rPr>
                <w:lang w:val="en-US"/>
              </w:rPr>
              <w:t xml:space="preserve">s. </w:t>
            </w:r>
            <w:r w:rsidR="00F74315">
              <w:rPr>
                <w:lang w:val="en-IE"/>
              </w:rPr>
              <w:t xml:space="preserve">For more information see section </w:t>
            </w:r>
            <w:r w:rsidR="00F74315">
              <w:rPr>
                <w:lang w:val="en-IE"/>
              </w:rPr>
              <w:fldChar w:fldCharType="begin"/>
            </w:r>
            <w:r w:rsidR="00F74315">
              <w:rPr>
                <w:lang w:val="en-IE"/>
              </w:rPr>
              <w:instrText xml:space="preserve"> REF _Ref20419405 \r \h </w:instrText>
            </w:r>
            <w:r w:rsidR="00F74315">
              <w:rPr>
                <w:lang w:val="en-IE"/>
              </w:rPr>
            </w:r>
            <w:r w:rsidR="00F74315">
              <w:rPr>
                <w:lang w:val="en-IE"/>
              </w:rPr>
              <w:fldChar w:fldCharType="separate"/>
            </w:r>
            <w:r w:rsidR="00031242">
              <w:rPr>
                <w:lang w:val="en-IE"/>
              </w:rPr>
              <w:t>1.4</w:t>
            </w:r>
            <w:r w:rsidR="00F74315">
              <w:rPr>
                <w:lang w:val="en-IE"/>
              </w:rPr>
              <w:fldChar w:fldCharType="end"/>
            </w:r>
            <w:r w:rsidR="00A06991">
              <w:rPr>
                <w:lang w:val="en-IE"/>
              </w:rPr>
              <w:t xml:space="preserve">. </w:t>
            </w:r>
          </w:p>
          <w:p w14:paraId="7DE68033" w14:textId="77777777" w:rsidR="009E44DC" w:rsidRDefault="009E44DC" w:rsidP="00AB6DDE">
            <w:pPr>
              <w:rPr>
                <w:b/>
                <w:lang w:val="en-IE"/>
              </w:rPr>
            </w:pPr>
          </w:p>
          <w:p w14:paraId="30DED905" w14:textId="77777777" w:rsidR="009E44DC" w:rsidRDefault="009E44DC" w:rsidP="009E44DC">
            <w:pPr>
              <w:rPr>
                <w:b/>
                <w:lang w:val="en-IE"/>
              </w:rPr>
            </w:pPr>
            <w:r>
              <w:rPr>
                <w:b/>
                <w:lang w:val="en-IE"/>
              </w:rPr>
              <w:t>Reasons for Unused</w:t>
            </w:r>
          </w:p>
          <w:p w14:paraId="19457557" w14:textId="5916E844" w:rsidR="00F74315" w:rsidRPr="00F74315" w:rsidRDefault="00F74315" w:rsidP="00F74315">
            <w:pPr>
              <w:rPr>
                <w:lang w:val="en-IE"/>
              </w:rPr>
            </w:pPr>
            <w:r w:rsidRPr="00F74315">
              <w:rPr>
                <w:lang w:val="en-IE"/>
              </w:rPr>
              <w:t xml:space="preserve">Specifying </w:t>
            </w:r>
            <w:r>
              <w:rPr>
                <w:lang w:val="en-IE"/>
              </w:rPr>
              <w:t>information on strategic procurement per section is likely to require significant time. The added value of such segmentation (and the quality of received data) is not obvious.</w:t>
            </w:r>
          </w:p>
        </w:tc>
      </w:tr>
      <w:tr w:rsidR="00AB6DDE" w:rsidRPr="0059550D" w14:paraId="42F1DE97" w14:textId="77777777" w:rsidTr="008D6040">
        <w:tc>
          <w:tcPr>
            <w:tcW w:w="263" w:type="pct"/>
            <w:shd w:val="clear" w:color="auto" w:fill="8DB3E2" w:themeFill="text2" w:themeFillTint="66"/>
            <w:vAlign w:val="center"/>
          </w:tcPr>
          <w:p w14:paraId="43FDCB19" w14:textId="0FF66415" w:rsidR="00AB6DDE" w:rsidRPr="0059550D" w:rsidRDefault="00DF7757" w:rsidP="00AB6DDE">
            <w:pPr>
              <w:jc w:val="center"/>
              <w:rPr>
                <w:i/>
                <w:szCs w:val="24"/>
                <w:lang w:val="en-IE"/>
              </w:rPr>
            </w:pPr>
            <w:r>
              <w:rPr>
                <w:i/>
                <w:szCs w:val="24"/>
                <w:lang w:val="en-IE"/>
              </w:rPr>
              <w:t>30</w:t>
            </w:r>
          </w:p>
        </w:tc>
        <w:tc>
          <w:tcPr>
            <w:tcW w:w="823" w:type="pct"/>
            <w:shd w:val="clear" w:color="auto" w:fill="8DB3E2" w:themeFill="text2" w:themeFillTint="66"/>
            <w:vAlign w:val="center"/>
          </w:tcPr>
          <w:p w14:paraId="42E2C1EC" w14:textId="07EA564F" w:rsidR="00AB6DDE" w:rsidRPr="0059550D" w:rsidRDefault="00AB6DDE" w:rsidP="00952D33">
            <w:pPr>
              <w:rPr>
                <w:i/>
                <w:szCs w:val="24"/>
                <w:lang w:val="en-IE"/>
              </w:rPr>
            </w:pPr>
            <w:r w:rsidRPr="0059550D">
              <w:rPr>
                <w:i/>
                <w:szCs w:val="24"/>
                <w:lang w:val="en-IE"/>
              </w:rPr>
              <w:t>Strategic procurement (BT</w:t>
            </w:r>
            <w:r w:rsidRPr="0059550D">
              <w:rPr>
                <w:i/>
                <w:szCs w:val="24"/>
                <w:lang w:val="en-IE"/>
              </w:rPr>
              <w:noBreakHyphen/>
              <w:t>06)</w:t>
            </w:r>
          </w:p>
          <w:p w14:paraId="69CFD3D9" w14:textId="77777777" w:rsidR="00AB6DDE" w:rsidRPr="0059550D" w:rsidRDefault="00AB6DDE" w:rsidP="00952D33">
            <w:pPr>
              <w:rPr>
                <w:lang w:val="en-IE"/>
              </w:rPr>
            </w:pPr>
          </w:p>
        </w:tc>
        <w:tc>
          <w:tcPr>
            <w:tcW w:w="892" w:type="pct"/>
            <w:shd w:val="clear" w:color="auto" w:fill="8DB3E2" w:themeFill="text2" w:themeFillTint="66"/>
            <w:vAlign w:val="center"/>
          </w:tcPr>
          <w:p w14:paraId="64FF1D32" w14:textId="25B3CF28" w:rsidR="00AB6DDE" w:rsidRPr="0059550D" w:rsidRDefault="008448BC" w:rsidP="00952D33">
            <w:pPr>
              <w:rPr>
                <w:lang w:val="en-IE"/>
              </w:rPr>
            </w:pPr>
            <w:r w:rsidRPr="0059550D">
              <w:rPr>
                <w:lang w:val="en-IE"/>
              </w:rPr>
              <w:t>“</w:t>
            </w:r>
            <w:r w:rsidRPr="00EB186D">
              <w:rPr>
                <w:i/>
                <w:lang w:val="en-IE"/>
              </w:rPr>
              <w:t>Use of a technical specification, selection criterion, award criterion, or contract performance condition aims to reduce the environmental impacts of the procurement, fulfil social objectives and/or buy an innovative work, supply or service.”</w:t>
            </w:r>
          </w:p>
        </w:tc>
        <w:tc>
          <w:tcPr>
            <w:tcW w:w="3022" w:type="pct"/>
          </w:tcPr>
          <w:p w14:paraId="0C943CE4" w14:textId="77777777" w:rsidR="00AB6DDE" w:rsidRPr="0059550D" w:rsidRDefault="00AB6DDE" w:rsidP="00AB6DDE">
            <w:pPr>
              <w:rPr>
                <w:szCs w:val="24"/>
                <w:lang w:val="en-IE"/>
              </w:rPr>
            </w:pPr>
            <w:r w:rsidRPr="0059550D">
              <w:rPr>
                <w:b/>
                <w:lang w:val="en-IE"/>
              </w:rPr>
              <w:t>Reasons for Mandatory</w:t>
            </w:r>
          </w:p>
          <w:p w14:paraId="4F4C5890" w14:textId="0F719042" w:rsidR="00AB6DDE" w:rsidRPr="0059550D" w:rsidRDefault="00AB6DDE" w:rsidP="00AB6DDE">
            <w:pPr>
              <w:rPr>
                <w:szCs w:val="24"/>
                <w:lang w:val="en-IE"/>
              </w:rPr>
            </w:pPr>
            <w:r w:rsidRPr="0059550D">
              <w:rPr>
                <w:szCs w:val="24"/>
                <w:lang w:val="en-IE"/>
              </w:rPr>
              <w:t>This field would bring basic information on green, social and innovative procurement. It relies on self-evaluation by buyers and does not provide a more detailed definition because no EU-wide definitions are currently available.</w:t>
            </w:r>
          </w:p>
          <w:p w14:paraId="6A7BD912" w14:textId="77777777" w:rsidR="009F5232" w:rsidRPr="0059550D" w:rsidRDefault="009F5232" w:rsidP="00AB6DDE">
            <w:pPr>
              <w:rPr>
                <w:szCs w:val="24"/>
                <w:lang w:val="en-IE"/>
              </w:rPr>
            </w:pPr>
          </w:p>
          <w:p w14:paraId="21FE716F" w14:textId="3E3F8DC5" w:rsidR="009F5232" w:rsidRPr="0059550D" w:rsidRDefault="009F5232" w:rsidP="009F5232">
            <w:pPr>
              <w:rPr>
                <w:b/>
                <w:szCs w:val="24"/>
                <w:lang w:val="en-IE"/>
              </w:rPr>
            </w:pPr>
            <w:r w:rsidRPr="0059550D">
              <w:rPr>
                <w:b/>
                <w:szCs w:val="24"/>
                <w:lang w:val="en-IE"/>
              </w:rPr>
              <w:t xml:space="preserve">Reasons for Optional </w:t>
            </w:r>
          </w:p>
          <w:p w14:paraId="2A10008D" w14:textId="6D601975" w:rsidR="009F5232" w:rsidRPr="0059550D" w:rsidRDefault="009F5232" w:rsidP="00161E2F">
            <w:pPr>
              <w:rPr>
                <w:lang w:val="en-IE"/>
              </w:rPr>
            </w:pPr>
            <w:r w:rsidRPr="0059550D">
              <w:rPr>
                <w:szCs w:val="24"/>
                <w:lang w:val="en-IE"/>
              </w:rPr>
              <w:t xml:space="preserve">The field causes </w:t>
            </w:r>
            <w:r w:rsidR="00161E2F" w:rsidRPr="00161E2F">
              <w:rPr>
                <w:szCs w:val="24"/>
                <w:lang w:val="en-IE"/>
              </w:rPr>
              <w:t>minimal administrative effort</w:t>
            </w:r>
            <w:r w:rsidR="008374A6" w:rsidRPr="0059550D">
              <w:rPr>
                <w:szCs w:val="24"/>
                <w:lang w:val="en-IE"/>
              </w:rPr>
              <w:t>.</w:t>
            </w:r>
          </w:p>
        </w:tc>
      </w:tr>
      <w:tr w:rsidR="007C5C1C" w:rsidRPr="0059550D" w14:paraId="037E290B" w14:textId="77777777" w:rsidTr="008D6040">
        <w:tc>
          <w:tcPr>
            <w:tcW w:w="263" w:type="pct"/>
            <w:shd w:val="clear" w:color="auto" w:fill="8DB3E2" w:themeFill="text2" w:themeFillTint="66"/>
            <w:vAlign w:val="center"/>
          </w:tcPr>
          <w:p w14:paraId="2C740D20" w14:textId="581D21CA" w:rsidR="007C5C1C" w:rsidRPr="0059550D" w:rsidRDefault="007E454B" w:rsidP="00AB6DDE">
            <w:pPr>
              <w:jc w:val="center"/>
              <w:rPr>
                <w:i/>
                <w:szCs w:val="24"/>
                <w:lang w:val="en-IE"/>
              </w:rPr>
            </w:pPr>
            <w:r>
              <w:rPr>
                <w:i/>
                <w:szCs w:val="24"/>
                <w:lang w:val="en-IE"/>
              </w:rPr>
              <w:t>3</w:t>
            </w:r>
            <w:r w:rsidR="00DF7757">
              <w:rPr>
                <w:i/>
                <w:szCs w:val="24"/>
                <w:lang w:val="en-IE"/>
              </w:rPr>
              <w:t>1</w:t>
            </w:r>
          </w:p>
        </w:tc>
        <w:tc>
          <w:tcPr>
            <w:tcW w:w="823" w:type="pct"/>
            <w:shd w:val="clear" w:color="auto" w:fill="8DB3E2" w:themeFill="text2" w:themeFillTint="66"/>
            <w:vAlign w:val="center"/>
          </w:tcPr>
          <w:p w14:paraId="780E992D" w14:textId="4137B7DA" w:rsidR="007C5C1C" w:rsidRPr="00FA39C8" w:rsidRDefault="007C5C1C" w:rsidP="007C5C1C">
            <w:pPr>
              <w:jc w:val="both"/>
              <w:rPr>
                <w:i/>
                <w:szCs w:val="24"/>
                <w:lang w:val="fr-BE"/>
              </w:rPr>
            </w:pPr>
            <w:r w:rsidRPr="00FA39C8">
              <w:rPr>
                <w:i/>
                <w:szCs w:val="24"/>
                <w:lang w:val="fr-BE"/>
              </w:rPr>
              <w:t>Green Procurement</w:t>
            </w:r>
            <w:r w:rsidRPr="00FA39C8">
              <w:rPr>
                <w:i/>
                <w:szCs w:val="24"/>
                <w:lang w:val="fr-BE"/>
              </w:rPr>
              <w:br/>
              <w:t>(BT-774)</w:t>
            </w:r>
            <w:r w:rsidRPr="00FA39C8">
              <w:rPr>
                <w:i/>
                <w:szCs w:val="24"/>
                <w:lang w:val="fr-BE"/>
              </w:rPr>
              <w:br/>
              <w:t>&amp;</w:t>
            </w:r>
            <w:r w:rsidRPr="00FA39C8">
              <w:rPr>
                <w:i/>
                <w:szCs w:val="24"/>
                <w:lang w:val="fr-BE"/>
              </w:rPr>
              <w:br/>
              <w:t>Social Procurement</w:t>
            </w:r>
            <w:r w:rsidRPr="00FA39C8">
              <w:rPr>
                <w:i/>
                <w:szCs w:val="24"/>
                <w:lang w:val="fr-BE"/>
              </w:rPr>
              <w:br/>
              <w:t>(BT-775)</w:t>
            </w:r>
            <w:r w:rsidRPr="00FA39C8">
              <w:rPr>
                <w:i/>
                <w:szCs w:val="24"/>
                <w:lang w:val="fr-BE"/>
              </w:rPr>
              <w:br/>
              <w:t>&amp;</w:t>
            </w:r>
            <w:r w:rsidRPr="00FA39C8">
              <w:rPr>
                <w:i/>
                <w:szCs w:val="24"/>
                <w:lang w:val="fr-BE"/>
              </w:rPr>
              <w:br/>
              <w:t>Innovative Procurement</w:t>
            </w:r>
          </w:p>
          <w:p w14:paraId="7B285EC3" w14:textId="691BF3C5" w:rsidR="007C5C1C" w:rsidRPr="0059550D" w:rsidRDefault="007C5C1C" w:rsidP="007C5C1C">
            <w:pPr>
              <w:jc w:val="both"/>
              <w:rPr>
                <w:i/>
                <w:szCs w:val="24"/>
                <w:lang w:val="en-IE"/>
              </w:rPr>
            </w:pPr>
            <w:r w:rsidRPr="0059550D">
              <w:rPr>
                <w:i/>
                <w:szCs w:val="24"/>
                <w:lang w:val="en-IE"/>
              </w:rPr>
              <w:t xml:space="preserve">(BT-776) </w:t>
            </w:r>
          </w:p>
        </w:tc>
        <w:tc>
          <w:tcPr>
            <w:tcW w:w="892" w:type="pct"/>
            <w:shd w:val="clear" w:color="auto" w:fill="8DB3E2" w:themeFill="text2" w:themeFillTint="66"/>
            <w:vAlign w:val="center"/>
          </w:tcPr>
          <w:p w14:paraId="0D7358BF" w14:textId="7775400B" w:rsidR="003847F0" w:rsidRPr="00EB186D" w:rsidRDefault="003847F0" w:rsidP="00952D33">
            <w:pPr>
              <w:rPr>
                <w:i/>
                <w:lang w:val="en-IE"/>
              </w:rPr>
            </w:pPr>
            <w:r w:rsidRPr="0059550D">
              <w:rPr>
                <w:lang w:val="en-IE"/>
              </w:rPr>
              <w:t xml:space="preserve">“An approach to reducing the environmental impacts of the work, supply or service (e.g. requesting compliance with an </w:t>
            </w:r>
            <w:r w:rsidRPr="00EB186D">
              <w:rPr>
                <w:i/>
                <w:lang w:val="en-IE"/>
              </w:rPr>
              <w:t>environmental label).“</w:t>
            </w:r>
          </w:p>
          <w:p w14:paraId="47E114AA" w14:textId="77777777" w:rsidR="003847F0" w:rsidRPr="00EB186D" w:rsidRDefault="003847F0" w:rsidP="00952D33">
            <w:pPr>
              <w:rPr>
                <w:i/>
                <w:lang w:val="en-IE"/>
              </w:rPr>
            </w:pPr>
          </w:p>
          <w:p w14:paraId="376B53EA" w14:textId="4536858C" w:rsidR="003847F0" w:rsidRPr="00EB186D" w:rsidRDefault="003847F0" w:rsidP="00952D33">
            <w:pPr>
              <w:rPr>
                <w:i/>
                <w:lang w:val="en-IE"/>
              </w:rPr>
            </w:pPr>
            <w:r w:rsidRPr="00EB186D">
              <w:rPr>
                <w:i/>
                <w:lang w:val="en-IE"/>
              </w:rPr>
              <w:t xml:space="preserve">“A social objective promoted by the works, </w:t>
            </w:r>
            <w:r w:rsidRPr="00EB186D">
              <w:rPr>
                <w:i/>
                <w:lang w:val="en-IE"/>
              </w:rPr>
              <w:lastRenderedPageBreak/>
              <w:t>supplies or services (e.g. fair working conditions).“</w:t>
            </w:r>
          </w:p>
          <w:p w14:paraId="308176C8" w14:textId="77777777" w:rsidR="003847F0" w:rsidRPr="00EB186D" w:rsidRDefault="003847F0" w:rsidP="00952D33">
            <w:pPr>
              <w:rPr>
                <w:i/>
                <w:lang w:val="en-IE"/>
              </w:rPr>
            </w:pPr>
          </w:p>
          <w:p w14:paraId="56C86363" w14:textId="326BD945" w:rsidR="007C5C1C" w:rsidRPr="0059550D" w:rsidRDefault="003847F0" w:rsidP="00952D33">
            <w:pPr>
              <w:rPr>
                <w:lang w:val="en-IE"/>
              </w:rPr>
            </w:pPr>
            <w:r w:rsidRPr="00EB186D">
              <w:rPr>
                <w:i/>
                <w:lang w:val="en-IE"/>
              </w:rPr>
              <w:t>“An indication that innovative works, supplies or services are being bought (e.g. the procured works, supplies or services being novel for the whole market).</w:t>
            </w:r>
            <w:r w:rsidRPr="0059550D">
              <w:rPr>
                <w:lang w:val="en-IE"/>
              </w:rPr>
              <w:t xml:space="preserve"> “</w:t>
            </w:r>
          </w:p>
        </w:tc>
        <w:tc>
          <w:tcPr>
            <w:tcW w:w="3022" w:type="pct"/>
          </w:tcPr>
          <w:p w14:paraId="1C55B365" w14:textId="1D371923" w:rsidR="00A9064E" w:rsidRPr="0059550D" w:rsidRDefault="00A9064E" w:rsidP="00A9064E">
            <w:pPr>
              <w:rPr>
                <w:szCs w:val="24"/>
                <w:lang w:val="en-IE"/>
              </w:rPr>
            </w:pPr>
            <w:r w:rsidRPr="0059550D">
              <w:rPr>
                <w:b/>
                <w:lang w:val="en-IE"/>
              </w:rPr>
              <w:lastRenderedPageBreak/>
              <w:t xml:space="preserve">Reasons for Mandatory </w:t>
            </w:r>
          </w:p>
          <w:p w14:paraId="1ECFEAE2" w14:textId="59F7CB7E" w:rsidR="00A9064E" w:rsidRPr="0059550D" w:rsidRDefault="00A9064E" w:rsidP="00A9064E">
            <w:pPr>
              <w:rPr>
                <w:szCs w:val="24"/>
                <w:lang w:val="en-IE"/>
              </w:rPr>
            </w:pPr>
            <w:r w:rsidRPr="0059550D">
              <w:rPr>
                <w:szCs w:val="24"/>
                <w:lang w:val="en-IE"/>
              </w:rPr>
              <w:t>These fields provide additional information on green, social and innovative procurement (detailed information is available in the codelist</w:t>
            </w:r>
            <w:r w:rsidR="00AD5188">
              <w:rPr>
                <w:szCs w:val="24"/>
                <w:lang w:val="en-IE"/>
              </w:rPr>
              <w:t>s</w:t>
            </w:r>
            <w:r w:rsidRPr="0059550D">
              <w:rPr>
                <w:szCs w:val="24"/>
                <w:lang w:val="en-IE"/>
              </w:rPr>
              <w:t xml:space="preserve">). They are more </w:t>
            </w:r>
            <w:r w:rsidR="00AD5188">
              <w:rPr>
                <w:szCs w:val="24"/>
                <w:lang w:val="en-IE"/>
              </w:rPr>
              <w:t>specific</w:t>
            </w:r>
            <w:r w:rsidR="00AD5188" w:rsidRPr="0059550D">
              <w:rPr>
                <w:szCs w:val="24"/>
                <w:lang w:val="en-IE"/>
              </w:rPr>
              <w:t xml:space="preserve"> </w:t>
            </w:r>
            <w:r w:rsidRPr="0059550D">
              <w:rPr>
                <w:szCs w:val="24"/>
                <w:lang w:val="en-IE"/>
              </w:rPr>
              <w:t xml:space="preserve">than the general Strategic Procurement (BT-06) field. </w:t>
            </w:r>
          </w:p>
          <w:p w14:paraId="297294A1" w14:textId="77777777" w:rsidR="00A9064E" w:rsidRPr="0059550D" w:rsidRDefault="00A9064E" w:rsidP="00A9064E">
            <w:pPr>
              <w:rPr>
                <w:szCs w:val="24"/>
                <w:lang w:val="en-IE"/>
              </w:rPr>
            </w:pPr>
          </w:p>
          <w:p w14:paraId="2BBCA4A1" w14:textId="4C8F0643" w:rsidR="00A9064E" w:rsidRPr="0059550D" w:rsidRDefault="00A9064E" w:rsidP="00A9064E">
            <w:pPr>
              <w:rPr>
                <w:b/>
                <w:szCs w:val="24"/>
                <w:lang w:val="en-IE"/>
              </w:rPr>
            </w:pPr>
            <w:r w:rsidRPr="0059550D">
              <w:rPr>
                <w:b/>
                <w:szCs w:val="24"/>
                <w:lang w:val="en-IE"/>
              </w:rPr>
              <w:t xml:space="preserve">Reasons for Optional </w:t>
            </w:r>
          </w:p>
          <w:p w14:paraId="6099B33E" w14:textId="1ABD9B16" w:rsidR="007C5C1C" w:rsidRPr="0059550D" w:rsidRDefault="00A9064E" w:rsidP="00161E2F">
            <w:pPr>
              <w:rPr>
                <w:b/>
                <w:lang w:val="en-IE"/>
              </w:rPr>
            </w:pPr>
            <w:r w:rsidRPr="0059550D">
              <w:rPr>
                <w:szCs w:val="24"/>
                <w:lang w:val="en-IE"/>
              </w:rPr>
              <w:t xml:space="preserve">The field causes </w:t>
            </w:r>
            <w:r w:rsidR="00161E2F" w:rsidRPr="00161E2F">
              <w:rPr>
                <w:szCs w:val="24"/>
                <w:lang w:val="en-IE"/>
              </w:rPr>
              <w:t>minimal administrative effort</w:t>
            </w:r>
            <w:r w:rsidRPr="0059550D">
              <w:rPr>
                <w:szCs w:val="24"/>
                <w:lang w:val="en-IE"/>
              </w:rPr>
              <w:t>.</w:t>
            </w:r>
          </w:p>
        </w:tc>
      </w:tr>
      <w:tr w:rsidR="00AB6DDE" w:rsidRPr="0059550D" w14:paraId="02CAE44E" w14:textId="77777777" w:rsidTr="008D6040">
        <w:tc>
          <w:tcPr>
            <w:tcW w:w="263" w:type="pct"/>
            <w:shd w:val="clear" w:color="auto" w:fill="8DB3E2" w:themeFill="text2" w:themeFillTint="66"/>
            <w:vAlign w:val="center"/>
          </w:tcPr>
          <w:p w14:paraId="1C2D12F2" w14:textId="2E761550" w:rsidR="00AB6DDE" w:rsidRPr="0059550D" w:rsidRDefault="00832D5D" w:rsidP="00AB6DDE">
            <w:pPr>
              <w:jc w:val="center"/>
              <w:rPr>
                <w:i/>
                <w:szCs w:val="24"/>
                <w:lang w:val="en-IE"/>
              </w:rPr>
            </w:pPr>
            <w:r>
              <w:rPr>
                <w:i/>
                <w:szCs w:val="24"/>
                <w:lang w:val="en-IE"/>
              </w:rPr>
              <w:t>3</w:t>
            </w:r>
            <w:r w:rsidR="00DF7757">
              <w:rPr>
                <w:i/>
                <w:szCs w:val="24"/>
                <w:lang w:val="en-IE"/>
              </w:rPr>
              <w:t>2</w:t>
            </w:r>
          </w:p>
        </w:tc>
        <w:tc>
          <w:tcPr>
            <w:tcW w:w="823" w:type="pct"/>
            <w:shd w:val="clear" w:color="auto" w:fill="8DB3E2" w:themeFill="text2" w:themeFillTint="66"/>
            <w:vAlign w:val="center"/>
          </w:tcPr>
          <w:p w14:paraId="0723A898" w14:textId="5AA1A1A3" w:rsidR="00AB6DDE" w:rsidRPr="0059550D" w:rsidRDefault="00CD5CA1" w:rsidP="00952D33">
            <w:pPr>
              <w:rPr>
                <w:i/>
                <w:szCs w:val="24"/>
                <w:lang w:val="en-IE"/>
              </w:rPr>
            </w:pPr>
            <w:r w:rsidRPr="0059550D">
              <w:rPr>
                <w:i/>
                <w:szCs w:val="24"/>
                <w:lang w:val="en-IE"/>
              </w:rPr>
              <w:t xml:space="preserve">Vehicles </w:t>
            </w:r>
            <w:r w:rsidRPr="0059550D">
              <w:rPr>
                <w:i/>
                <w:szCs w:val="24"/>
                <w:lang w:val="en-IE"/>
              </w:rPr>
              <w:br/>
              <w:t>(BT-715)</w:t>
            </w:r>
          </w:p>
          <w:p w14:paraId="7E078AEF" w14:textId="77777777" w:rsidR="00AB6DDE" w:rsidRPr="0059550D" w:rsidRDefault="00AB6DDE" w:rsidP="00952D33">
            <w:pPr>
              <w:rPr>
                <w:i/>
                <w:szCs w:val="24"/>
                <w:lang w:val="en-IE"/>
              </w:rPr>
            </w:pPr>
            <w:r w:rsidRPr="0059550D">
              <w:rPr>
                <w:i/>
                <w:szCs w:val="24"/>
                <w:lang w:val="en-IE"/>
              </w:rPr>
              <w:t>&amp;</w:t>
            </w:r>
          </w:p>
          <w:p w14:paraId="0269EA1D" w14:textId="77777777" w:rsidR="00AB6DDE" w:rsidRPr="0059550D" w:rsidRDefault="00AB6DDE" w:rsidP="00952D33">
            <w:pPr>
              <w:rPr>
                <w:i/>
                <w:szCs w:val="24"/>
                <w:lang w:val="en-IE"/>
              </w:rPr>
            </w:pPr>
            <w:r w:rsidRPr="0059550D">
              <w:rPr>
                <w:i/>
                <w:szCs w:val="24"/>
                <w:lang w:val="en-IE"/>
              </w:rPr>
              <w:t>Vehicles Zero Emission (BT-725)</w:t>
            </w:r>
          </w:p>
          <w:p w14:paraId="39FA1531" w14:textId="40017189" w:rsidR="00AB6DDE" w:rsidRPr="0059550D" w:rsidRDefault="00AB6DDE" w:rsidP="00952D33">
            <w:pPr>
              <w:rPr>
                <w:lang w:val="en-IE"/>
              </w:rPr>
            </w:pPr>
            <w:r w:rsidRPr="0059550D">
              <w:rPr>
                <w:i/>
                <w:szCs w:val="24"/>
                <w:lang w:val="en-IE"/>
              </w:rPr>
              <w:t>&amp;</w:t>
            </w:r>
            <w:r w:rsidR="00CD5CA1" w:rsidRPr="0059550D">
              <w:rPr>
                <w:i/>
                <w:szCs w:val="24"/>
                <w:lang w:val="en-IE"/>
              </w:rPr>
              <w:br/>
            </w:r>
            <w:r w:rsidRPr="0059550D">
              <w:rPr>
                <w:i/>
                <w:szCs w:val="24"/>
                <w:lang w:val="en-IE"/>
              </w:rPr>
              <w:t xml:space="preserve">Vehicles Clean (BT-716) </w:t>
            </w:r>
          </w:p>
        </w:tc>
        <w:tc>
          <w:tcPr>
            <w:tcW w:w="892" w:type="pct"/>
            <w:shd w:val="clear" w:color="auto" w:fill="8DB3E2" w:themeFill="text2" w:themeFillTint="66"/>
            <w:vAlign w:val="center"/>
          </w:tcPr>
          <w:p w14:paraId="4A0BBAE3" w14:textId="4268419C" w:rsidR="00AB6DDE" w:rsidRPr="0059550D" w:rsidRDefault="00AB6DDE" w:rsidP="00952D33">
            <w:pPr>
              <w:rPr>
                <w:lang w:val="en-IE"/>
              </w:rPr>
            </w:pPr>
            <w:r w:rsidRPr="0059550D">
              <w:rPr>
                <w:lang w:val="en-IE"/>
              </w:rPr>
              <w:t xml:space="preserve">“The number of all &amp; zero-emission heavy duty &amp; clean  vehicles” </w:t>
            </w:r>
            <w:r w:rsidRPr="0059550D">
              <w:rPr>
                <w:i/>
                <w:lang w:val="en-IE"/>
              </w:rPr>
              <w:t>[merged &amp; shortened]</w:t>
            </w:r>
          </w:p>
        </w:tc>
        <w:tc>
          <w:tcPr>
            <w:tcW w:w="3022" w:type="pct"/>
          </w:tcPr>
          <w:p w14:paraId="34A9E3CD" w14:textId="77777777" w:rsidR="00AB6DDE" w:rsidRPr="0059550D" w:rsidRDefault="00AB6DDE" w:rsidP="00AB6DDE">
            <w:pPr>
              <w:rPr>
                <w:szCs w:val="24"/>
                <w:lang w:val="en-IE"/>
              </w:rPr>
            </w:pPr>
            <w:r w:rsidRPr="0059550D">
              <w:rPr>
                <w:b/>
                <w:lang w:val="en-IE"/>
              </w:rPr>
              <w:t>Reasons for Mandatory</w:t>
            </w:r>
          </w:p>
          <w:p w14:paraId="7494F90D" w14:textId="77777777" w:rsidR="00AB6DDE" w:rsidRPr="0059550D" w:rsidRDefault="00AB6DDE" w:rsidP="00AB6DDE">
            <w:pPr>
              <w:rPr>
                <w:iCs/>
                <w:szCs w:val="24"/>
                <w:lang w:val="en-IE" w:eastAsia="en-GB"/>
              </w:rPr>
            </w:pPr>
            <w:r w:rsidRPr="0059550D">
              <w:rPr>
                <w:iCs/>
                <w:szCs w:val="24"/>
                <w:lang w:val="en-IE" w:eastAsia="en-GB"/>
              </w:rPr>
              <w:t>According to the Clean Vehicles Directive (2009/33/EC), EU countries are obliged to monitor the proportion of zero-emission heavy duty and clean vehicles. Monitoring through eForms seems to be the easiest and most accurate way to do so.</w:t>
            </w:r>
          </w:p>
          <w:p w14:paraId="12234FCD" w14:textId="77777777" w:rsidR="00AB6DDE" w:rsidRPr="0059550D" w:rsidRDefault="00AB6DDE" w:rsidP="00AB6DDE">
            <w:pPr>
              <w:rPr>
                <w:iCs/>
                <w:szCs w:val="24"/>
                <w:lang w:val="en-IE" w:eastAsia="en-GB"/>
              </w:rPr>
            </w:pPr>
          </w:p>
          <w:p w14:paraId="6FB92A7C" w14:textId="77777777" w:rsidR="00AB6DDE" w:rsidRPr="0059550D" w:rsidRDefault="00AB6DDE" w:rsidP="00AB6DDE">
            <w:pPr>
              <w:rPr>
                <w:szCs w:val="24"/>
                <w:lang w:val="en-IE"/>
              </w:rPr>
            </w:pPr>
            <w:r w:rsidRPr="0059550D">
              <w:rPr>
                <w:b/>
                <w:lang w:val="en-IE"/>
              </w:rPr>
              <w:t>Reasons for Optional or Unused</w:t>
            </w:r>
          </w:p>
          <w:p w14:paraId="3F0D783F" w14:textId="2D9FCE09" w:rsidR="00AB6DDE" w:rsidRPr="0059550D" w:rsidRDefault="00AB6DDE" w:rsidP="00AB6DDE">
            <w:pPr>
              <w:rPr>
                <w:b/>
                <w:lang w:val="en-IE"/>
              </w:rPr>
            </w:pPr>
            <w:r w:rsidRPr="0059550D">
              <w:rPr>
                <w:iCs/>
                <w:szCs w:val="24"/>
                <w:lang w:val="en-IE" w:eastAsia="en-GB"/>
              </w:rPr>
              <w:t>None.</w:t>
            </w:r>
          </w:p>
        </w:tc>
      </w:tr>
      <w:tr w:rsidR="00AB6DDE" w:rsidRPr="0059550D" w14:paraId="71BE641E" w14:textId="77777777" w:rsidTr="008D6040">
        <w:tc>
          <w:tcPr>
            <w:tcW w:w="263" w:type="pct"/>
            <w:shd w:val="clear" w:color="auto" w:fill="8DB3E2" w:themeFill="text2" w:themeFillTint="66"/>
            <w:vAlign w:val="center"/>
          </w:tcPr>
          <w:p w14:paraId="14AFA5D4" w14:textId="74A9BC2D" w:rsidR="00AB6DDE" w:rsidRPr="0059550D" w:rsidRDefault="00832D5D" w:rsidP="00AB6DDE">
            <w:pPr>
              <w:jc w:val="center"/>
              <w:rPr>
                <w:i/>
                <w:szCs w:val="24"/>
                <w:lang w:val="en-IE"/>
              </w:rPr>
            </w:pPr>
            <w:r>
              <w:rPr>
                <w:i/>
                <w:szCs w:val="24"/>
                <w:lang w:val="en-IE"/>
              </w:rPr>
              <w:t>3</w:t>
            </w:r>
            <w:r w:rsidR="00DF7757">
              <w:rPr>
                <w:i/>
                <w:szCs w:val="24"/>
                <w:lang w:val="en-IE"/>
              </w:rPr>
              <w:t>3</w:t>
            </w:r>
          </w:p>
        </w:tc>
        <w:tc>
          <w:tcPr>
            <w:tcW w:w="823" w:type="pct"/>
            <w:shd w:val="clear" w:color="auto" w:fill="8DB3E2" w:themeFill="text2" w:themeFillTint="66"/>
            <w:vAlign w:val="center"/>
          </w:tcPr>
          <w:p w14:paraId="6F9200AB" w14:textId="233A7D72" w:rsidR="00AB6DDE" w:rsidRPr="0059550D" w:rsidRDefault="00AB6DDE" w:rsidP="00D65A1D">
            <w:pPr>
              <w:rPr>
                <w:lang w:val="en-IE"/>
              </w:rPr>
            </w:pPr>
            <w:r w:rsidRPr="0059550D">
              <w:rPr>
                <w:i/>
                <w:szCs w:val="24"/>
                <w:lang w:val="en-IE"/>
              </w:rPr>
              <w:t>Accessibility</w:t>
            </w:r>
            <w:r w:rsidR="00D65A1D" w:rsidRPr="0059550D">
              <w:rPr>
                <w:i/>
                <w:szCs w:val="24"/>
                <w:lang w:val="en-IE"/>
              </w:rPr>
              <w:br/>
            </w:r>
            <w:r w:rsidRPr="0059550D">
              <w:rPr>
                <w:i/>
                <w:szCs w:val="24"/>
                <w:lang w:val="en-IE"/>
              </w:rPr>
              <w:t>(BT</w:t>
            </w:r>
            <w:r w:rsidRPr="0059550D">
              <w:rPr>
                <w:i/>
                <w:szCs w:val="24"/>
                <w:lang w:val="en-IE"/>
              </w:rPr>
              <w:noBreakHyphen/>
              <w:t>754)</w:t>
            </w:r>
          </w:p>
        </w:tc>
        <w:tc>
          <w:tcPr>
            <w:tcW w:w="892" w:type="pct"/>
            <w:shd w:val="clear" w:color="auto" w:fill="8DB3E2" w:themeFill="text2" w:themeFillTint="66"/>
            <w:vAlign w:val="center"/>
          </w:tcPr>
          <w:p w14:paraId="4F308832" w14:textId="3AD80BE7" w:rsidR="00AB6DDE" w:rsidRPr="0059550D" w:rsidRDefault="00AB6DDE" w:rsidP="00952D33">
            <w:pPr>
              <w:rPr>
                <w:lang w:val="en-IE"/>
              </w:rPr>
            </w:pPr>
            <w:r w:rsidRPr="0059550D">
              <w:rPr>
                <w:lang w:val="en-IE"/>
              </w:rPr>
              <w:t>“The use of accessibility criteria for persons with disabilities in the technical specifications.”</w:t>
            </w:r>
          </w:p>
        </w:tc>
        <w:tc>
          <w:tcPr>
            <w:tcW w:w="3022" w:type="pct"/>
          </w:tcPr>
          <w:p w14:paraId="0D4D5EA2" w14:textId="77777777" w:rsidR="00AB6DDE" w:rsidRPr="0059550D" w:rsidRDefault="00AB6DDE" w:rsidP="00AB6DDE">
            <w:pPr>
              <w:rPr>
                <w:szCs w:val="24"/>
                <w:lang w:val="en-IE"/>
              </w:rPr>
            </w:pPr>
            <w:r w:rsidRPr="0059550D">
              <w:rPr>
                <w:b/>
                <w:lang w:val="en-IE"/>
              </w:rPr>
              <w:t>Reasons for Mandatory</w:t>
            </w:r>
          </w:p>
          <w:p w14:paraId="08FC9F67" w14:textId="77777777" w:rsidR="00AB6DDE" w:rsidRPr="0059550D" w:rsidRDefault="00AB6DDE" w:rsidP="00AB6DDE">
            <w:pPr>
              <w:rPr>
                <w:iCs/>
                <w:szCs w:val="24"/>
                <w:lang w:val="en-IE" w:eastAsia="en-GB"/>
              </w:rPr>
            </w:pPr>
            <w:r w:rsidRPr="0059550D">
              <w:rPr>
                <w:iCs/>
                <w:szCs w:val="24"/>
                <w:lang w:val="en-IE" w:eastAsia="en-GB"/>
              </w:rPr>
              <w:t>This field would help monitor the extent to which duly justified exceptions are being used. This is particularly relevant in the context of the recently ado</w:t>
            </w:r>
            <w:r w:rsidR="000542E9" w:rsidRPr="0059550D">
              <w:rPr>
                <w:iCs/>
                <w:szCs w:val="24"/>
                <w:lang w:val="en-IE" w:eastAsia="en-GB"/>
              </w:rPr>
              <w:t xml:space="preserve">pted European Accessibility Act and Art. 42(1) of Directive 2014/24/EU. </w:t>
            </w:r>
          </w:p>
          <w:p w14:paraId="0003435F" w14:textId="77777777" w:rsidR="000542E9" w:rsidRPr="0059550D" w:rsidRDefault="000542E9" w:rsidP="00AB6DDE">
            <w:pPr>
              <w:rPr>
                <w:iCs/>
                <w:szCs w:val="24"/>
                <w:lang w:val="en-IE" w:eastAsia="en-GB"/>
              </w:rPr>
            </w:pPr>
          </w:p>
          <w:p w14:paraId="5D9C4A60" w14:textId="24BAFFC9" w:rsidR="000542E9" w:rsidRPr="0059550D" w:rsidRDefault="000542E9" w:rsidP="000542E9">
            <w:pPr>
              <w:rPr>
                <w:b/>
                <w:szCs w:val="24"/>
                <w:lang w:val="en-IE"/>
              </w:rPr>
            </w:pPr>
            <w:r w:rsidRPr="0059550D">
              <w:rPr>
                <w:b/>
                <w:szCs w:val="24"/>
                <w:lang w:val="en-IE"/>
              </w:rPr>
              <w:t xml:space="preserve">Reasons for Optional </w:t>
            </w:r>
          </w:p>
          <w:p w14:paraId="13E5CB8C" w14:textId="03D6C131" w:rsidR="000542E9" w:rsidRPr="0059550D" w:rsidRDefault="000542E9" w:rsidP="000542E9">
            <w:pPr>
              <w:rPr>
                <w:b/>
                <w:lang w:val="en-IE"/>
              </w:rPr>
            </w:pPr>
            <w:r w:rsidRPr="0059550D">
              <w:rPr>
                <w:szCs w:val="24"/>
                <w:lang w:val="en-IE"/>
              </w:rPr>
              <w:t xml:space="preserve">The field </w:t>
            </w:r>
            <w:r w:rsidR="00161E2F">
              <w:rPr>
                <w:szCs w:val="24"/>
                <w:lang w:val="en-IE"/>
              </w:rPr>
              <w:t>c</w:t>
            </w:r>
            <w:r w:rsidR="00161E2F" w:rsidRPr="0059550D">
              <w:rPr>
                <w:szCs w:val="24"/>
                <w:lang w:val="en-IE"/>
              </w:rPr>
              <w:t>auses minimal</w:t>
            </w:r>
            <w:r w:rsidR="00161E2F">
              <w:rPr>
                <w:szCs w:val="24"/>
                <w:lang w:val="en-IE"/>
              </w:rPr>
              <w:t xml:space="preserve"> </w:t>
            </w:r>
            <w:r w:rsidR="00161E2F" w:rsidRPr="0059550D">
              <w:rPr>
                <w:szCs w:val="24"/>
                <w:lang w:val="en-IE"/>
              </w:rPr>
              <w:t xml:space="preserve">administrative </w:t>
            </w:r>
            <w:r w:rsidR="00161E2F">
              <w:rPr>
                <w:szCs w:val="24"/>
                <w:lang w:val="en-IE"/>
              </w:rPr>
              <w:t>effort</w:t>
            </w:r>
            <w:r w:rsidRPr="0059550D">
              <w:rPr>
                <w:szCs w:val="24"/>
                <w:lang w:val="en-IE"/>
              </w:rPr>
              <w:t>.</w:t>
            </w:r>
          </w:p>
        </w:tc>
      </w:tr>
      <w:tr w:rsidR="00AB6DDE" w:rsidRPr="0059550D" w14:paraId="47F8F24D" w14:textId="77777777" w:rsidTr="008D6040">
        <w:tc>
          <w:tcPr>
            <w:tcW w:w="263" w:type="pct"/>
            <w:shd w:val="clear" w:color="auto" w:fill="8DB3E2" w:themeFill="text2" w:themeFillTint="66"/>
            <w:vAlign w:val="center"/>
          </w:tcPr>
          <w:p w14:paraId="1257A2D8" w14:textId="0A42868B" w:rsidR="00AB6DDE" w:rsidRPr="0059550D" w:rsidRDefault="00832D5D" w:rsidP="00AB6DDE">
            <w:pPr>
              <w:jc w:val="center"/>
              <w:rPr>
                <w:i/>
                <w:szCs w:val="24"/>
                <w:lang w:val="en-IE"/>
              </w:rPr>
            </w:pPr>
            <w:r>
              <w:rPr>
                <w:i/>
                <w:szCs w:val="24"/>
                <w:lang w:val="en-IE"/>
              </w:rPr>
              <w:t>3</w:t>
            </w:r>
            <w:r w:rsidR="00DF7757">
              <w:rPr>
                <w:i/>
                <w:szCs w:val="24"/>
                <w:lang w:val="en-IE"/>
              </w:rPr>
              <w:t>4</w:t>
            </w:r>
          </w:p>
        </w:tc>
        <w:tc>
          <w:tcPr>
            <w:tcW w:w="823" w:type="pct"/>
            <w:shd w:val="clear" w:color="auto" w:fill="8DB3E2" w:themeFill="text2" w:themeFillTint="66"/>
            <w:vAlign w:val="center"/>
          </w:tcPr>
          <w:p w14:paraId="5DF27326" w14:textId="796AD418" w:rsidR="00AB6DDE" w:rsidRPr="0059550D" w:rsidRDefault="00AB6DDE" w:rsidP="00952D33">
            <w:pPr>
              <w:rPr>
                <w:lang w:val="en-IE"/>
              </w:rPr>
            </w:pPr>
            <w:r w:rsidRPr="0059550D">
              <w:rPr>
                <w:i/>
                <w:szCs w:val="24"/>
                <w:lang w:val="en-IE"/>
              </w:rPr>
              <w:t>Buyer Review Summary (BG-612)</w:t>
            </w:r>
          </w:p>
        </w:tc>
        <w:tc>
          <w:tcPr>
            <w:tcW w:w="892" w:type="pct"/>
            <w:shd w:val="clear" w:color="auto" w:fill="8DB3E2" w:themeFill="text2" w:themeFillTint="66"/>
            <w:vAlign w:val="center"/>
          </w:tcPr>
          <w:p w14:paraId="3938520C" w14:textId="6C393B18" w:rsidR="00AB6DDE" w:rsidRPr="0059550D" w:rsidRDefault="00AB6DDE" w:rsidP="00952D33">
            <w:pPr>
              <w:rPr>
                <w:lang w:val="en-IE"/>
              </w:rPr>
            </w:pPr>
            <w:r w:rsidRPr="0059550D">
              <w:rPr>
                <w:lang w:val="en-IE"/>
              </w:rPr>
              <w:t xml:space="preserve">“Summary information about the requests the buyer received to review any of its decisions (e.g. the technical specifications, award decision), as set out in Art. 1(5) of Directive </w:t>
            </w:r>
            <w:r w:rsidRPr="0059550D">
              <w:rPr>
                <w:lang w:val="en-IE"/>
              </w:rPr>
              <w:lastRenderedPageBreak/>
              <w:t>89/665/EEC and Directive 92/13/EEC, and about the complainants that submitted the requests.”</w:t>
            </w:r>
          </w:p>
        </w:tc>
        <w:tc>
          <w:tcPr>
            <w:tcW w:w="3022" w:type="pct"/>
          </w:tcPr>
          <w:p w14:paraId="1024676E" w14:textId="77777777" w:rsidR="00FD0CA5" w:rsidRPr="0059550D" w:rsidRDefault="00FD0CA5" w:rsidP="00FD0CA5">
            <w:pPr>
              <w:rPr>
                <w:szCs w:val="24"/>
                <w:lang w:val="en-IE"/>
              </w:rPr>
            </w:pPr>
            <w:r w:rsidRPr="0059550D">
              <w:rPr>
                <w:b/>
                <w:lang w:val="en-IE"/>
              </w:rPr>
              <w:lastRenderedPageBreak/>
              <w:t>Reasons for Mandatory</w:t>
            </w:r>
          </w:p>
          <w:p w14:paraId="61D1DB52" w14:textId="77777777" w:rsidR="00E106D2" w:rsidRPr="0059550D" w:rsidRDefault="00E106D2" w:rsidP="00FD0CA5">
            <w:pPr>
              <w:rPr>
                <w:szCs w:val="24"/>
                <w:lang w:val="en-IE"/>
              </w:rPr>
            </w:pPr>
            <w:r w:rsidRPr="0059550D">
              <w:rPr>
                <w:szCs w:val="24"/>
                <w:lang w:val="en-IE"/>
              </w:rPr>
              <w:t xml:space="preserve">Review requests provide important information for economic operators as well as the broader public. They help answer questions such as: </w:t>
            </w:r>
          </w:p>
          <w:p w14:paraId="03097C3D" w14:textId="482FF004" w:rsidR="00146B00" w:rsidRPr="0059550D" w:rsidRDefault="00146B00" w:rsidP="00DC6C47">
            <w:pPr>
              <w:pStyle w:val="ListParagraph"/>
              <w:numPr>
                <w:ilvl w:val="0"/>
                <w:numId w:val="19"/>
              </w:numPr>
              <w:rPr>
                <w:szCs w:val="24"/>
                <w:lang w:val="en-IE"/>
              </w:rPr>
            </w:pPr>
            <w:r w:rsidRPr="0059550D">
              <w:rPr>
                <w:szCs w:val="24"/>
                <w:lang w:val="en-IE"/>
              </w:rPr>
              <w:t xml:space="preserve">Do repeatable review requests for decision concerning the same buyer suggest a problem with </w:t>
            </w:r>
            <w:r w:rsidR="00FD0CA5" w:rsidRPr="0059550D">
              <w:rPr>
                <w:szCs w:val="24"/>
                <w:lang w:val="en-IE"/>
              </w:rPr>
              <w:t>professionalism</w:t>
            </w:r>
            <w:r w:rsidRPr="0059550D">
              <w:rPr>
                <w:szCs w:val="24"/>
                <w:lang w:val="en-IE"/>
              </w:rPr>
              <w:t xml:space="preserve">? </w:t>
            </w:r>
          </w:p>
          <w:p w14:paraId="3AC6201D" w14:textId="77777777" w:rsidR="00146B00" w:rsidRPr="0059550D" w:rsidRDefault="00146B00" w:rsidP="00DC6C47">
            <w:pPr>
              <w:pStyle w:val="ListParagraph"/>
              <w:numPr>
                <w:ilvl w:val="0"/>
                <w:numId w:val="19"/>
              </w:numPr>
              <w:rPr>
                <w:szCs w:val="24"/>
                <w:lang w:val="en-IE"/>
              </w:rPr>
            </w:pPr>
            <w:r w:rsidRPr="0059550D">
              <w:rPr>
                <w:szCs w:val="24"/>
                <w:lang w:val="en-IE"/>
              </w:rPr>
              <w:t xml:space="preserve">Do review requests explain </w:t>
            </w:r>
            <w:r w:rsidR="00FD0CA5" w:rsidRPr="0059550D">
              <w:rPr>
                <w:szCs w:val="24"/>
                <w:lang w:val="en-IE"/>
              </w:rPr>
              <w:t>slow procurement procedures</w:t>
            </w:r>
            <w:r w:rsidRPr="0059550D">
              <w:rPr>
                <w:szCs w:val="24"/>
                <w:lang w:val="en-IE"/>
              </w:rPr>
              <w:t xml:space="preserve">? </w:t>
            </w:r>
          </w:p>
          <w:p w14:paraId="291E9AB2" w14:textId="5C75864E" w:rsidR="00FD0CA5" w:rsidRPr="0059550D" w:rsidRDefault="00146B00" w:rsidP="00DC6C47">
            <w:pPr>
              <w:pStyle w:val="ListParagraph"/>
              <w:numPr>
                <w:ilvl w:val="0"/>
                <w:numId w:val="19"/>
              </w:numPr>
              <w:rPr>
                <w:szCs w:val="24"/>
                <w:lang w:val="en-IE"/>
              </w:rPr>
            </w:pPr>
            <w:r w:rsidRPr="0059550D">
              <w:rPr>
                <w:szCs w:val="24"/>
                <w:lang w:val="en-IE"/>
              </w:rPr>
              <w:t>What is likely the cost associated with buyers having to respond to such requests?</w:t>
            </w:r>
          </w:p>
          <w:p w14:paraId="16216519" w14:textId="6E5D322A" w:rsidR="00FD0CA5" w:rsidRPr="0059550D" w:rsidRDefault="00FD0CA5" w:rsidP="00FD0CA5">
            <w:pPr>
              <w:rPr>
                <w:szCs w:val="24"/>
                <w:lang w:val="en-IE"/>
              </w:rPr>
            </w:pPr>
          </w:p>
          <w:p w14:paraId="085A7A56" w14:textId="7BE68FAF" w:rsidR="003B79F0" w:rsidRPr="0059550D" w:rsidRDefault="003B79F0" w:rsidP="00FD0CA5">
            <w:pPr>
              <w:rPr>
                <w:b/>
                <w:szCs w:val="24"/>
                <w:lang w:val="en-IE"/>
              </w:rPr>
            </w:pPr>
            <w:r w:rsidRPr="0059550D">
              <w:rPr>
                <w:b/>
                <w:szCs w:val="24"/>
                <w:lang w:val="en-IE"/>
              </w:rPr>
              <w:lastRenderedPageBreak/>
              <w:t xml:space="preserve">Reasons for Optional </w:t>
            </w:r>
          </w:p>
          <w:p w14:paraId="40B056A6" w14:textId="4C425648" w:rsidR="00AB6DDE" w:rsidRPr="0059550D" w:rsidRDefault="0004188F" w:rsidP="00EF07F8">
            <w:pPr>
              <w:rPr>
                <w:b/>
                <w:lang w:val="en-IE"/>
              </w:rPr>
            </w:pPr>
            <w:r w:rsidRPr="0059550D">
              <w:rPr>
                <w:color w:val="000000"/>
                <w:szCs w:val="24"/>
                <w:lang w:val="en-IE"/>
              </w:rPr>
              <w:t xml:space="preserve">Minimal administrative burden. It is just one </w:t>
            </w:r>
            <w:r w:rsidR="00FD0CA5" w:rsidRPr="0059550D">
              <w:rPr>
                <w:color w:val="000000"/>
                <w:szCs w:val="24"/>
                <w:lang w:val="en-IE"/>
              </w:rPr>
              <w:t>(already collected) number.</w:t>
            </w:r>
          </w:p>
        </w:tc>
      </w:tr>
      <w:tr w:rsidR="00AB6DDE" w:rsidRPr="0059550D" w14:paraId="01D36B75" w14:textId="77777777" w:rsidTr="008D6040">
        <w:tc>
          <w:tcPr>
            <w:tcW w:w="263" w:type="pct"/>
            <w:shd w:val="clear" w:color="auto" w:fill="8DB3E2" w:themeFill="text2" w:themeFillTint="66"/>
            <w:vAlign w:val="center"/>
          </w:tcPr>
          <w:p w14:paraId="234D6B47" w14:textId="14E40B05" w:rsidR="00AB6DDE" w:rsidRPr="0059550D" w:rsidRDefault="00832D5D" w:rsidP="00AB6DDE">
            <w:pPr>
              <w:jc w:val="center"/>
              <w:rPr>
                <w:i/>
                <w:szCs w:val="24"/>
                <w:lang w:val="en-IE"/>
              </w:rPr>
            </w:pPr>
            <w:r>
              <w:rPr>
                <w:i/>
                <w:szCs w:val="24"/>
                <w:lang w:val="en-IE"/>
              </w:rPr>
              <w:lastRenderedPageBreak/>
              <w:t>3</w:t>
            </w:r>
            <w:r w:rsidR="00DF7757">
              <w:rPr>
                <w:i/>
                <w:szCs w:val="24"/>
                <w:lang w:val="en-IE"/>
              </w:rPr>
              <w:t>5</w:t>
            </w:r>
          </w:p>
        </w:tc>
        <w:tc>
          <w:tcPr>
            <w:tcW w:w="823" w:type="pct"/>
            <w:shd w:val="clear" w:color="auto" w:fill="8DB3E2" w:themeFill="text2" w:themeFillTint="66"/>
            <w:vAlign w:val="center"/>
          </w:tcPr>
          <w:p w14:paraId="3190C9F5" w14:textId="470EF157" w:rsidR="00AB6DDE" w:rsidRPr="0059550D" w:rsidRDefault="00AB6DDE" w:rsidP="00952D33">
            <w:pPr>
              <w:rPr>
                <w:i/>
                <w:szCs w:val="24"/>
                <w:lang w:val="en-IE"/>
              </w:rPr>
            </w:pPr>
            <w:r w:rsidRPr="0059550D">
              <w:rPr>
                <w:i/>
                <w:szCs w:val="24"/>
                <w:lang w:val="en-IE"/>
              </w:rPr>
              <w:t>Buyer Review Requests (BG-613)</w:t>
            </w:r>
          </w:p>
        </w:tc>
        <w:tc>
          <w:tcPr>
            <w:tcW w:w="892" w:type="pct"/>
            <w:shd w:val="clear" w:color="auto" w:fill="8DB3E2" w:themeFill="text2" w:themeFillTint="66"/>
            <w:vAlign w:val="center"/>
          </w:tcPr>
          <w:p w14:paraId="1AA099F7" w14:textId="3EADC4C1" w:rsidR="00AB6DDE" w:rsidRPr="0059550D" w:rsidRDefault="00AB6DDE" w:rsidP="00952D33">
            <w:pPr>
              <w:rPr>
                <w:lang w:val="en-IE"/>
              </w:rPr>
            </w:pPr>
            <w:r w:rsidRPr="0059550D">
              <w:rPr>
                <w:lang w:val="en-IE"/>
              </w:rPr>
              <w:t>“Information about the number and type of requests the buyer received to review any of its decisions (e.g. the technical specifications, award decision).”</w:t>
            </w:r>
          </w:p>
        </w:tc>
        <w:tc>
          <w:tcPr>
            <w:tcW w:w="3022" w:type="pct"/>
          </w:tcPr>
          <w:p w14:paraId="1C1625D3" w14:textId="77777777" w:rsidR="00AB6DDE" w:rsidRPr="0059550D" w:rsidRDefault="000562B9" w:rsidP="00AB6DDE">
            <w:pPr>
              <w:rPr>
                <w:b/>
                <w:lang w:val="en-IE"/>
              </w:rPr>
            </w:pPr>
            <w:r w:rsidRPr="0059550D">
              <w:rPr>
                <w:b/>
                <w:lang w:val="en-IE"/>
              </w:rPr>
              <w:t>Reasons for Mandatory</w:t>
            </w:r>
          </w:p>
          <w:p w14:paraId="7F599407" w14:textId="29803C30" w:rsidR="000562B9" w:rsidRPr="0059550D" w:rsidRDefault="000562B9" w:rsidP="00B379FE">
            <w:pPr>
              <w:rPr>
                <w:lang w:val="en-IE"/>
              </w:rPr>
            </w:pPr>
            <w:r w:rsidRPr="0059550D">
              <w:rPr>
                <w:lang w:val="en-IE"/>
              </w:rPr>
              <w:t>Provides more detailed information about review procedures, allowing answering questions</w:t>
            </w:r>
            <w:r w:rsidR="000517A8" w:rsidRPr="0059550D">
              <w:rPr>
                <w:lang w:val="en-IE"/>
              </w:rPr>
              <w:t xml:space="preserve"> such as “Which types of irregularities are most often identified by review requests?“, „</w:t>
            </w:r>
            <w:r w:rsidR="00B379FE" w:rsidRPr="0059550D">
              <w:rPr>
                <w:lang w:val="en-IE"/>
              </w:rPr>
              <w:t xml:space="preserve">Do the identified irregularities </w:t>
            </w:r>
            <w:r w:rsidR="000517A8" w:rsidRPr="0059550D">
              <w:rPr>
                <w:lang w:val="en-IE"/>
              </w:rPr>
              <w:t>require any policy steps, such as training or interpretation on a particular subject?“</w:t>
            </w:r>
          </w:p>
          <w:p w14:paraId="4725B626" w14:textId="77777777" w:rsidR="00C458E2" w:rsidRPr="0059550D" w:rsidRDefault="00C458E2" w:rsidP="00B379FE">
            <w:pPr>
              <w:rPr>
                <w:lang w:val="en-IE"/>
              </w:rPr>
            </w:pPr>
          </w:p>
          <w:p w14:paraId="4DC4C960" w14:textId="77777777" w:rsidR="00C458E2" w:rsidRPr="0059550D" w:rsidRDefault="00C458E2" w:rsidP="00B379FE">
            <w:pPr>
              <w:rPr>
                <w:b/>
                <w:lang w:val="en-IE"/>
              </w:rPr>
            </w:pPr>
            <w:r w:rsidRPr="0059550D">
              <w:rPr>
                <w:b/>
                <w:lang w:val="en-IE"/>
              </w:rPr>
              <w:t>Reasons for Optional or Unused</w:t>
            </w:r>
          </w:p>
          <w:p w14:paraId="1E3F6A08" w14:textId="268B4FDF" w:rsidR="00C458E2" w:rsidRPr="0059550D" w:rsidRDefault="00910126" w:rsidP="00B379FE">
            <w:pPr>
              <w:rPr>
                <w:lang w:val="en-IE"/>
              </w:rPr>
            </w:pPr>
            <w:r w:rsidRPr="0059550D">
              <w:rPr>
                <w:color w:val="000000"/>
                <w:szCs w:val="24"/>
                <w:lang w:val="en-IE"/>
              </w:rPr>
              <w:t>(Minimal) administrative burden (20 seconds). It is just one (already collected) number.</w:t>
            </w:r>
            <w:r w:rsidR="00C458E2" w:rsidRPr="0059550D">
              <w:rPr>
                <w:lang w:val="en-IE"/>
              </w:rPr>
              <w:t xml:space="preserve"> </w:t>
            </w:r>
          </w:p>
        </w:tc>
      </w:tr>
      <w:tr w:rsidR="00AB6DDE" w:rsidRPr="0059550D" w14:paraId="0B60F024" w14:textId="77777777" w:rsidTr="008D6040">
        <w:tc>
          <w:tcPr>
            <w:tcW w:w="263" w:type="pct"/>
            <w:shd w:val="clear" w:color="auto" w:fill="8DB3E2" w:themeFill="text2" w:themeFillTint="66"/>
            <w:vAlign w:val="center"/>
          </w:tcPr>
          <w:p w14:paraId="1FB975EE" w14:textId="71B43C79" w:rsidR="00AB6DDE" w:rsidRPr="0059550D" w:rsidRDefault="007E454B" w:rsidP="00DF7757">
            <w:pPr>
              <w:jc w:val="center"/>
              <w:rPr>
                <w:i/>
                <w:szCs w:val="24"/>
                <w:lang w:val="en-IE"/>
              </w:rPr>
            </w:pPr>
            <w:r>
              <w:rPr>
                <w:i/>
                <w:szCs w:val="24"/>
                <w:lang w:val="en-IE"/>
              </w:rPr>
              <w:t>3</w:t>
            </w:r>
            <w:r w:rsidR="00DF7757">
              <w:rPr>
                <w:i/>
                <w:szCs w:val="24"/>
                <w:lang w:val="en-IE"/>
              </w:rPr>
              <w:t>6</w:t>
            </w:r>
          </w:p>
        </w:tc>
        <w:tc>
          <w:tcPr>
            <w:tcW w:w="823" w:type="pct"/>
            <w:shd w:val="clear" w:color="auto" w:fill="8DB3E2" w:themeFill="text2" w:themeFillTint="66"/>
            <w:vAlign w:val="center"/>
          </w:tcPr>
          <w:p w14:paraId="681CBB8D" w14:textId="0C3F56E3" w:rsidR="00AB6DDE" w:rsidRPr="0059550D" w:rsidRDefault="00AB6DDE" w:rsidP="00952D33">
            <w:pPr>
              <w:rPr>
                <w:lang w:val="en-IE"/>
              </w:rPr>
            </w:pPr>
            <w:r w:rsidRPr="0059550D">
              <w:rPr>
                <w:i/>
                <w:szCs w:val="24"/>
                <w:lang w:val="en-IE"/>
              </w:rPr>
              <w:t xml:space="preserve">Suitable For SMEs </w:t>
            </w:r>
            <w:r w:rsidR="00D65A1D" w:rsidRPr="0059550D">
              <w:rPr>
                <w:i/>
                <w:szCs w:val="24"/>
                <w:lang w:val="en-IE"/>
              </w:rPr>
              <w:br/>
            </w:r>
            <w:r w:rsidRPr="0059550D">
              <w:rPr>
                <w:i/>
                <w:szCs w:val="24"/>
                <w:lang w:val="en-IE"/>
              </w:rPr>
              <w:t>(BT-726)</w:t>
            </w:r>
          </w:p>
        </w:tc>
        <w:tc>
          <w:tcPr>
            <w:tcW w:w="892" w:type="pct"/>
            <w:shd w:val="clear" w:color="auto" w:fill="8DB3E2" w:themeFill="text2" w:themeFillTint="66"/>
            <w:vAlign w:val="center"/>
          </w:tcPr>
          <w:p w14:paraId="315407BC" w14:textId="7EB33676" w:rsidR="00AB6DDE" w:rsidRPr="0059550D" w:rsidRDefault="00AB6DDE" w:rsidP="00952D33">
            <w:pPr>
              <w:rPr>
                <w:lang w:val="en-IE"/>
              </w:rPr>
            </w:pPr>
            <w:r w:rsidRPr="0059550D">
              <w:rPr>
                <w:lang w:val="en-IE"/>
              </w:rPr>
              <w:t>“</w:t>
            </w:r>
            <w:r w:rsidRPr="00EB186D">
              <w:rPr>
                <w:i/>
                <w:lang w:val="en-IE"/>
              </w:rPr>
              <w:t>The buyer emphasizes that this procurement is also suitable for small and medium enterprises (SMEs).”</w:t>
            </w:r>
          </w:p>
        </w:tc>
        <w:tc>
          <w:tcPr>
            <w:tcW w:w="3022" w:type="pct"/>
          </w:tcPr>
          <w:p w14:paraId="63C76469" w14:textId="65C4A57D" w:rsidR="00271B18" w:rsidRPr="0059550D" w:rsidRDefault="00271B18" w:rsidP="00C328DD">
            <w:pPr>
              <w:pStyle w:val="NormalWeb"/>
              <w:shd w:val="clear" w:color="auto" w:fill="FFFFFF"/>
              <w:spacing w:before="0" w:beforeAutospacing="0" w:after="0" w:afterAutospacing="0"/>
              <w:rPr>
                <w:rFonts w:asciiTheme="minorHAnsi" w:hAnsiTheme="minorHAnsi" w:cstheme="minorHAnsi"/>
                <w:b/>
                <w:sz w:val="22"/>
                <w:szCs w:val="22"/>
                <w:lang w:val="en-IE"/>
              </w:rPr>
            </w:pPr>
            <w:r w:rsidRPr="0059550D">
              <w:rPr>
                <w:rFonts w:asciiTheme="minorHAnsi" w:hAnsiTheme="minorHAnsi" w:cstheme="minorHAnsi"/>
                <w:b/>
                <w:sz w:val="22"/>
                <w:szCs w:val="22"/>
                <w:lang w:val="en-IE"/>
              </w:rPr>
              <w:t>Reasons for Mandatory or Optional</w:t>
            </w:r>
          </w:p>
          <w:p w14:paraId="72EB9AB3" w14:textId="3FF23303" w:rsidR="00271B18" w:rsidRPr="0059550D" w:rsidRDefault="00291D56" w:rsidP="00426C65">
            <w:pPr>
              <w:pStyle w:val="NormalWeb"/>
              <w:shd w:val="clear" w:color="auto" w:fill="FFFFFF"/>
              <w:spacing w:before="0" w:beforeAutospacing="0" w:after="0" w:afterAutospacing="0"/>
              <w:rPr>
                <w:rFonts w:asciiTheme="minorHAnsi" w:hAnsiTheme="minorHAnsi" w:cstheme="minorHAnsi"/>
                <w:sz w:val="22"/>
                <w:szCs w:val="22"/>
                <w:lang w:val="en-IE"/>
              </w:rPr>
            </w:pPr>
            <w:r w:rsidRPr="0059550D">
              <w:rPr>
                <w:rFonts w:asciiTheme="minorHAnsi" w:hAnsiTheme="minorHAnsi" w:cstheme="minorHAnsi"/>
                <w:sz w:val="22"/>
                <w:szCs w:val="22"/>
                <w:lang w:val="en-IE"/>
              </w:rPr>
              <w:t xml:space="preserve">The field can improve the chances of SMEs to easily find relevant business opportunities. Sometimes referred to as </w:t>
            </w:r>
            <w:r w:rsidR="00C328DD" w:rsidRPr="0059550D">
              <w:rPr>
                <w:rFonts w:asciiTheme="minorHAnsi" w:hAnsiTheme="minorHAnsi" w:cstheme="minorHAnsi"/>
                <w:sz w:val="22"/>
                <w:szCs w:val="22"/>
                <w:lang w:val="en-IE"/>
              </w:rPr>
              <w:t xml:space="preserve">"contract flagging", </w:t>
            </w:r>
            <w:r w:rsidRPr="0059550D">
              <w:rPr>
                <w:rFonts w:asciiTheme="minorHAnsi" w:hAnsiTheme="minorHAnsi" w:cstheme="minorHAnsi"/>
                <w:sz w:val="22"/>
                <w:szCs w:val="22"/>
                <w:lang w:val="en-IE"/>
              </w:rPr>
              <w:t xml:space="preserve">it has been recommended by the </w:t>
            </w:r>
            <w:r w:rsidR="00C328DD" w:rsidRPr="0059550D">
              <w:rPr>
                <w:rFonts w:asciiTheme="minorHAnsi" w:hAnsiTheme="minorHAnsi" w:cstheme="minorHAnsi"/>
                <w:sz w:val="22"/>
                <w:szCs w:val="22"/>
                <w:lang w:val="en-IE"/>
              </w:rPr>
              <w:t>Commission's Advisory expert group on cross-border access for SMEs to defence and security contracts</w:t>
            </w:r>
            <w:r w:rsidRPr="0059550D">
              <w:rPr>
                <w:rStyle w:val="FootnoteReference"/>
                <w:rFonts w:asciiTheme="minorHAnsi" w:hAnsiTheme="minorHAnsi" w:cstheme="minorHAnsi"/>
                <w:sz w:val="22"/>
                <w:szCs w:val="22"/>
                <w:lang w:val="en-IE"/>
              </w:rPr>
              <w:footnoteReference w:id="88"/>
            </w:r>
            <w:r w:rsidRPr="0059550D">
              <w:rPr>
                <w:rFonts w:asciiTheme="minorHAnsi" w:hAnsiTheme="minorHAnsi" w:cstheme="minorHAnsi"/>
                <w:sz w:val="22"/>
                <w:szCs w:val="22"/>
                <w:lang w:val="en-IE"/>
              </w:rPr>
              <w:t xml:space="preserve"> and is used in certain countries, e.g. the UK</w:t>
            </w:r>
            <w:r w:rsidR="00426C65" w:rsidRPr="0059550D">
              <w:rPr>
                <w:rStyle w:val="FootnoteReference"/>
                <w:rFonts w:asciiTheme="minorHAnsi" w:hAnsiTheme="minorHAnsi" w:cstheme="minorHAnsi"/>
                <w:sz w:val="22"/>
                <w:szCs w:val="22"/>
                <w:lang w:val="en-IE"/>
              </w:rPr>
              <w:footnoteReference w:id="89"/>
            </w:r>
            <w:r w:rsidRPr="0059550D">
              <w:rPr>
                <w:rFonts w:asciiTheme="minorHAnsi" w:hAnsiTheme="minorHAnsi" w:cstheme="minorHAnsi"/>
                <w:sz w:val="22"/>
                <w:szCs w:val="22"/>
                <w:lang w:val="en-IE"/>
              </w:rPr>
              <w:t xml:space="preserve">. </w:t>
            </w:r>
          </w:p>
          <w:p w14:paraId="2C6E542E" w14:textId="77777777" w:rsidR="00271B18" w:rsidRPr="0059550D" w:rsidRDefault="00271B18" w:rsidP="00271B18">
            <w:pPr>
              <w:shd w:val="clear" w:color="auto" w:fill="FFFFFF"/>
              <w:spacing w:before="60"/>
              <w:rPr>
                <w:rFonts w:cstheme="minorHAnsi"/>
                <w:b/>
                <w:lang w:val="en-IE"/>
              </w:rPr>
            </w:pPr>
            <w:r w:rsidRPr="0059550D">
              <w:rPr>
                <w:rFonts w:cstheme="minorHAnsi"/>
                <w:b/>
                <w:lang w:val="en-IE"/>
              </w:rPr>
              <w:t>Reasons for Unused</w:t>
            </w:r>
          </w:p>
          <w:p w14:paraId="7FB98645" w14:textId="030132C9" w:rsidR="00513107" w:rsidRPr="0059550D" w:rsidRDefault="00513107" w:rsidP="00CD0477">
            <w:pPr>
              <w:shd w:val="clear" w:color="auto" w:fill="FFFFFF"/>
              <w:spacing w:before="60"/>
              <w:rPr>
                <w:rFonts w:ascii="Segoe UI" w:hAnsi="Segoe UI" w:cs="Segoe UI"/>
                <w:color w:val="24292E"/>
                <w:sz w:val="21"/>
                <w:szCs w:val="21"/>
                <w:lang w:val="en-IE"/>
              </w:rPr>
            </w:pPr>
            <w:r w:rsidRPr="0059550D">
              <w:rPr>
                <w:rFonts w:cstheme="minorHAnsi"/>
                <w:lang w:val="en-IE"/>
              </w:rPr>
              <w:t xml:space="preserve">The field is subjective rather than objective (in principle, a consortium of SMEs can be able to handle any contract), so depending on national procurement culture, it can be confusing rather than helpful. </w:t>
            </w:r>
            <w:r w:rsidR="00CD0477" w:rsidRPr="0059550D">
              <w:rPr>
                <w:rFonts w:cstheme="minorHAnsi"/>
                <w:lang w:val="en-IE"/>
              </w:rPr>
              <w:t>National business associations may offer valuable feedback on this.</w:t>
            </w:r>
          </w:p>
        </w:tc>
      </w:tr>
      <w:tr w:rsidR="00AB6DDE" w:rsidRPr="0059550D" w14:paraId="2CF0D01E" w14:textId="77777777" w:rsidTr="008D6040">
        <w:tc>
          <w:tcPr>
            <w:tcW w:w="263" w:type="pct"/>
            <w:shd w:val="clear" w:color="auto" w:fill="8DB3E2" w:themeFill="text2" w:themeFillTint="66"/>
            <w:vAlign w:val="center"/>
          </w:tcPr>
          <w:p w14:paraId="48B0ED4F" w14:textId="2BCDD437" w:rsidR="00AB6DDE" w:rsidRPr="0059550D" w:rsidRDefault="00832D5D" w:rsidP="00AB6DDE">
            <w:pPr>
              <w:jc w:val="center"/>
              <w:rPr>
                <w:lang w:val="en-IE"/>
              </w:rPr>
            </w:pPr>
            <w:r>
              <w:rPr>
                <w:lang w:val="en-IE"/>
              </w:rPr>
              <w:t>3</w:t>
            </w:r>
            <w:r w:rsidR="00DF7757">
              <w:rPr>
                <w:lang w:val="en-IE"/>
              </w:rPr>
              <w:t>7</w:t>
            </w:r>
          </w:p>
        </w:tc>
        <w:tc>
          <w:tcPr>
            <w:tcW w:w="823" w:type="pct"/>
            <w:shd w:val="clear" w:color="auto" w:fill="8DB3E2" w:themeFill="text2" w:themeFillTint="66"/>
            <w:vAlign w:val="center"/>
          </w:tcPr>
          <w:p w14:paraId="595F364D" w14:textId="28EDDFD6" w:rsidR="00AB6DDE" w:rsidRPr="0059550D" w:rsidRDefault="00AB6DDE" w:rsidP="00952D33">
            <w:pPr>
              <w:rPr>
                <w:i/>
                <w:szCs w:val="24"/>
                <w:lang w:val="en-IE"/>
              </w:rPr>
            </w:pPr>
            <w:r w:rsidRPr="0059550D">
              <w:rPr>
                <w:lang w:val="en-IE"/>
              </w:rPr>
              <w:t>Procurement Relaunch (BT-634)</w:t>
            </w:r>
          </w:p>
        </w:tc>
        <w:tc>
          <w:tcPr>
            <w:tcW w:w="892" w:type="pct"/>
            <w:shd w:val="clear" w:color="auto" w:fill="8DB3E2" w:themeFill="text2" w:themeFillTint="66"/>
            <w:vAlign w:val="center"/>
          </w:tcPr>
          <w:p w14:paraId="34B3119F" w14:textId="580EF16D" w:rsidR="00AB6DDE" w:rsidRPr="0059550D" w:rsidRDefault="00AB6DDE" w:rsidP="00952D33">
            <w:pPr>
              <w:rPr>
                <w:lang w:val="en-IE"/>
              </w:rPr>
            </w:pPr>
            <w:r w:rsidRPr="0059550D">
              <w:rPr>
                <w:lang w:val="en-IE"/>
              </w:rPr>
              <w:t>This cancelled or unsuccessful procedure or lot will be relaunched.</w:t>
            </w:r>
          </w:p>
        </w:tc>
        <w:tc>
          <w:tcPr>
            <w:tcW w:w="3022" w:type="pct"/>
          </w:tcPr>
          <w:p w14:paraId="5050C1AE" w14:textId="4431484B" w:rsidR="00AB6DDE" w:rsidRPr="0059550D" w:rsidRDefault="00AB6DDE" w:rsidP="00AB6DDE">
            <w:pPr>
              <w:rPr>
                <w:b/>
                <w:lang w:val="en-IE"/>
              </w:rPr>
            </w:pPr>
            <w:r w:rsidRPr="0059550D">
              <w:rPr>
                <w:b/>
                <w:lang w:val="en-IE"/>
              </w:rPr>
              <w:t>Reasons for Mandatory</w:t>
            </w:r>
            <w:r w:rsidR="000A5590" w:rsidRPr="0059550D">
              <w:rPr>
                <w:b/>
                <w:lang w:val="en-IE"/>
              </w:rPr>
              <w:t xml:space="preserve"> or Optional</w:t>
            </w:r>
          </w:p>
          <w:p w14:paraId="36902F78" w14:textId="7A2B6CD2" w:rsidR="00953F36" w:rsidRPr="0059550D" w:rsidRDefault="00953F36" w:rsidP="00AB6DDE">
            <w:pPr>
              <w:rPr>
                <w:iCs/>
                <w:szCs w:val="24"/>
                <w:lang w:val="en-IE" w:eastAsia="en-GB"/>
              </w:rPr>
            </w:pPr>
            <w:r w:rsidRPr="0059550D">
              <w:rPr>
                <w:lang w:val="en-IE"/>
              </w:rPr>
              <w:t xml:space="preserve">This information is important for </w:t>
            </w:r>
            <w:r w:rsidRPr="0059550D">
              <w:rPr>
                <w:szCs w:val="24"/>
                <w:lang w:val="en-IE"/>
              </w:rPr>
              <w:t xml:space="preserve">economic operators as well as the broader public.  </w:t>
            </w:r>
          </w:p>
          <w:p w14:paraId="45231D4E" w14:textId="77777777" w:rsidR="00AB6DDE" w:rsidRPr="0059550D" w:rsidRDefault="00AB6DDE" w:rsidP="00AB6DDE">
            <w:pPr>
              <w:rPr>
                <w:iCs/>
                <w:szCs w:val="24"/>
                <w:lang w:val="en-IE" w:eastAsia="en-GB"/>
              </w:rPr>
            </w:pPr>
          </w:p>
          <w:p w14:paraId="440A1A1D" w14:textId="76DC2443" w:rsidR="00AB6DDE" w:rsidRPr="0059550D" w:rsidRDefault="00AB6DDE" w:rsidP="00AB6DDE">
            <w:pPr>
              <w:rPr>
                <w:b/>
                <w:lang w:val="en-IE"/>
              </w:rPr>
            </w:pPr>
            <w:r w:rsidRPr="0059550D">
              <w:rPr>
                <w:b/>
                <w:lang w:val="en-IE"/>
              </w:rPr>
              <w:t>Reasons for Unused</w:t>
            </w:r>
          </w:p>
          <w:p w14:paraId="766806DD" w14:textId="3E057D63" w:rsidR="003F0AA0" w:rsidRPr="0059550D" w:rsidRDefault="00161E2F" w:rsidP="00AB6DDE">
            <w:pPr>
              <w:rPr>
                <w:iCs/>
                <w:szCs w:val="24"/>
                <w:lang w:val="en-IE" w:eastAsia="en-GB"/>
              </w:rPr>
            </w:pPr>
            <w:r w:rsidRPr="0059550D">
              <w:rPr>
                <w:szCs w:val="24"/>
                <w:lang w:val="en-IE"/>
              </w:rPr>
              <w:t>Causes minimal</w:t>
            </w:r>
            <w:r>
              <w:rPr>
                <w:szCs w:val="24"/>
                <w:lang w:val="en-IE"/>
              </w:rPr>
              <w:t xml:space="preserve"> </w:t>
            </w:r>
            <w:r w:rsidRPr="0059550D">
              <w:rPr>
                <w:szCs w:val="24"/>
                <w:lang w:val="en-IE"/>
              </w:rPr>
              <w:t xml:space="preserve">administrative </w:t>
            </w:r>
            <w:r>
              <w:rPr>
                <w:szCs w:val="24"/>
                <w:lang w:val="en-IE"/>
              </w:rPr>
              <w:t>effort</w:t>
            </w:r>
            <w:r w:rsidRPr="0059550D">
              <w:rPr>
                <w:szCs w:val="24"/>
                <w:lang w:val="en-IE"/>
              </w:rPr>
              <w:t xml:space="preserve"> </w:t>
            </w:r>
            <w:r w:rsidR="003F0AA0" w:rsidRPr="0059550D">
              <w:rPr>
                <w:color w:val="000000"/>
                <w:szCs w:val="24"/>
                <w:lang w:val="en-IE"/>
              </w:rPr>
              <w:t>(20 seconds). It is just one (already collected) number.</w:t>
            </w:r>
          </w:p>
          <w:p w14:paraId="54B7DEF2" w14:textId="77777777" w:rsidR="00AB6DDE" w:rsidRPr="0059550D" w:rsidRDefault="00AB6DDE" w:rsidP="00AB6DDE">
            <w:pPr>
              <w:rPr>
                <w:b/>
                <w:lang w:val="en-IE"/>
              </w:rPr>
            </w:pPr>
          </w:p>
        </w:tc>
      </w:tr>
      <w:tr w:rsidR="00AB6DDE" w:rsidRPr="0059550D" w14:paraId="427B1B42" w14:textId="77777777" w:rsidTr="008D6040">
        <w:tc>
          <w:tcPr>
            <w:tcW w:w="263" w:type="pct"/>
            <w:shd w:val="clear" w:color="auto" w:fill="8DB3E2" w:themeFill="text2" w:themeFillTint="66"/>
            <w:vAlign w:val="center"/>
          </w:tcPr>
          <w:p w14:paraId="2061D8B9" w14:textId="199B763F" w:rsidR="00AB6DDE" w:rsidRPr="0059550D" w:rsidRDefault="00832D5D" w:rsidP="00AB6DDE">
            <w:pPr>
              <w:jc w:val="center"/>
              <w:rPr>
                <w:lang w:val="en-IE"/>
              </w:rPr>
            </w:pPr>
            <w:r>
              <w:rPr>
                <w:lang w:val="en-IE"/>
              </w:rPr>
              <w:t>3</w:t>
            </w:r>
            <w:r w:rsidR="00DF7757">
              <w:rPr>
                <w:lang w:val="en-IE"/>
              </w:rPr>
              <w:t>8</w:t>
            </w:r>
          </w:p>
        </w:tc>
        <w:tc>
          <w:tcPr>
            <w:tcW w:w="823" w:type="pct"/>
            <w:shd w:val="clear" w:color="auto" w:fill="8DB3E2" w:themeFill="text2" w:themeFillTint="66"/>
            <w:vAlign w:val="center"/>
          </w:tcPr>
          <w:p w14:paraId="4C2D2109" w14:textId="206126B3" w:rsidR="00AB6DDE" w:rsidRPr="0059550D" w:rsidRDefault="00AB6DDE" w:rsidP="00952D33">
            <w:pPr>
              <w:rPr>
                <w:lang w:val="en-IE"/>
              </w:rPr>
            </w:pPr>
            <w:r w:rsidRPr="0059550D">
              <w:rPr>
                <w:lang w:val="en-IE"/>
              </w:rPr>
              <w:t>No</w:t>
            </w:r>
            <w:r w:rsidR="00021F6D" w:rsidRPr="0059550D">
              <w:rPr>
                <w:lang w:val="en-IE"/>
              </w:rPr>
              <w:t xml:space="preserve">t Immediately </w:t>
            </w:r>
            <w:r w:rsidR="00021F6D" w:rsidRPr="0059550D">
              <w:rPr>
                <w:lang w:val="en-IE"/>
              </w:rPr>
              <w:lastRenderedPageBreak/>
              <w:t>Published (BG-8)</w:t>
            </w:r>
          </w:p>
          <w:p w14:paraId="3220B989" w14:textId="77777777" w:rsidR="00AB6DDE" w:rsidRPr="0059550D" w:rsidRDefault="00AB6DDE" w:rsidP="00952D33">
            <w:pPr>
              <w:rPr>
                <w:lang w:val="en-IE"/>
              </w:rPr>
            </w:pPr>
          </w:p>
          <w:p w14:paraId="402F8D76" w14:textId="77777777" w:rsidR="00AB6DDE" w:rsidRPr="0059550D" w:rsidRDefault="00AB6DDE" w:rsidP="00952D33">
            <w:pPr>
              <w:rPr>
                <w:lang w:val="en-IE"/>
              </w:rPr>
            </w:pPr>
            <w:r w:rsidRPr="0059550D">
              <w:rPr>
                <w:lang w:val="en-IE"/>
              </w:rPr>
              <w:t xml:space="preserve">&amp; </w:t>
            </w:r>
          </w:p>
          <w:p w14:paraId="0CA5386D" w14:textId="77777777" w:rsidR="00AB6DDE" w:rsidRPr="0059550D" w:rsidRDefault="00AB6DDE" w:rsidP="00952D33">
            <w:pPr>
              <w:rPr>
                <w:lang w:val="en-IE"/>
              </w:rPr>
            </w:pPr>
          </w:p>
          <w:p w14:paraId="69C231CE" w14:textId="3097DAAD" w:rsidR="00AB6DDE" w:rsidRPr="0059550D" w:rsidRDefault="00AB6DDE" w:rsidP="00952D33">
            <w:pPr>
              <w:rPr>
                <w:lang w:val="en-IE"/>
              </w:rPr>
            </w:pPr>
            <w:r w:rsidRPr="0059550D">
              <w:rPr>
                <w:i/>
                <w:szCs w:val="24"/>
                <w:lang w:val="en-IE"/>
              </w:rPr>
              <w:t xml:space="preserve">Tender Lowest Value (BT-710) </w:t>
            </w:r>
            <w:r w:rsidRPr="0059550D">
              <w:rPr>
                <w:i/>
                <w:szCs w:val="24"/>
                <w:lang w:val="en-IE"/>
              </w:rPr>
              <w:br/>
            </w:r>
            <w:r w:rsidRPr="0059550D">
              <w:rPr>
                <w:i/>
                <w:szCs w:val="24"/>
                <w:lang w:val="en-IE"/>
              </w:rPr>
              <w:br/>
              <w:t>&amp;</w:t>
            </w:r>
            <w:r w:rsidRPr="0059550D">
              <w:rPr>
                <w:i/>
                <w:szCs w:val="24"/>
                <w:lang w:val="en-IE"/>
              </w:rPr>
              <w:br/>
            </w:r>
            <w:r w:rsidRPr="0059550D">
              <w:rPr>
                <w:i/>
                <w:szCs w:val="24"/>
                <w:lang w:val="en-IE"/>
              </w:rPr>
              <w:br/>
              <w:t>Tender Highest Value (BT-711)</w:t>
            </w:r>
          </w:p>
        </w:tc>
        <w:tc>
          <w:tcPr>
            <w:tcW w:w="892" w:type="pct"/>
            <w:shd w:val="clear" w:color="auto" w:fill="8DB3E2" w:themeFill="text2" w:themeFillTint="66"/>
            <w:vAlign w:val="center"/>
          </w:tcPr>
          <w:p w14:paraId="733E4893" w14:textId="77777777" w:rsidR="00AB6DDE" w:rsidRPr="0059550D" w:rsidRDefault="00AB6DDE" w:rsidP="00952D33">
            <w:pPr>
              <w:rPr>
                <w:lang w:val="en-IE"/>
              </w:rPr>
            </w:pPr>
            <w:r w:rsidRPr="0059550D">
              <w:rPr>
                <w:lang w:val="en-IE"/>
              </w:rPr>
              <w:lastRenderedPageBreak/>
              <w:t xml:space="preserve">Information about fields </w:t>
            </w:r>
            <w:r w:rsidRPr="0059550D">
              <w:rPr>
                <w:lang w:val="en-IE"/>
              </w:rPr>
              <w:lastRenderedPageBreak/>
              <w:t>not intended for immediate publication. This information may differ per field.</w:t>
            </w:r>
          </w:p>
          <w:p w14:paraId="737EEAD6" w14:textId="77777777" w:rsidR="00AB6DDE" w:rsidRPr="0059550D" w:rsidRDefault="00AB6DDE" w:rsidP="00952D33">
            <w:pPr>
              <w:rPr>
                <w:lang w:val="en-IE"/>
              </w:rPr>
            </w:pPr>
          </w:p>
          <w:p w14:paraId="3139AC51" w14:textId="77777777" w:rsidR="00AB6DDE" w:rsidRPr="0059550D" w:rsidRDefault="00AB6DDE" w:rsidP="00952D33">
            <w:pPr>
              <w:rPr>
                <w:lang w:val="en-IE"/>
              </w:rPr>
            </w:pPr>
            <w:r w:rsidRPr="0059550D">
              <w:rPr>
                <w:lang w:val="en-IE"/>
              </w:rPr>
              <w:t>Identifier of the field that shall not be immediately published.</w:t>
            </w:r>
          </w:p>
          <w:p w14:paraId="15D128D9" w14:textId="77777777" w:rsidR="00AB6DDE" w:rsidRPr="0059550D" w:rsidRDefault="00AB6DDE" w:rsidP="00952D33">
            <w:pPr>
              <w:rPr>
                <w:lang w:val="en-IE"/>
              </w:rPr>
            </w:pPr>
          </w:p>
          <w:p w14:paraId="5398DC18" w14:textId="77777777" w:rsidR="00AB6DDE" w:rsidRPr="0059550D" w:rsidRDefault="00AB6DDE" w:rsidP="00952D33">
            <w:pPr>
              <w:rPr>
                <w:lang w:val="en-IE"/>
              </w:rPr>
            </w:pPr>
            <w:r w:rsidRPr="0059550D">
              <w:rPr>
                <w:lang w:val="en-IE"/>
              </w:rPr>
              <w:t>&amp;</w:t>
            </w:r>
          </w:p>
          <w:p w14:paraId="6B0D1DE8" w14:textId="77777777" w:rsidR="00AB6DDE" w:rsidRPr="0059550D" w:rsidRDefault="00AB6DDE" w:rsidP="00952D33">
            <w:pPr>
              <w:rPr>
                <w:lang w:val="en-IE"/>
              </w:rPr>
            </w:pPr>
          </w:p>
          <w:p w14:paraId="59FD8EE4" w14:textId="7093F1E1" w:rsidR="00AB6DDE" w:rsidRPr="0059550D" w:rsidRDefault="00AB6DDE" w:rsidP="00952D33">
            <w:pPr>
              <w:rPr>
                <w:lang w:val="en-IE"/>
              </w:rPr>
            </w:pPr>
            <w:r w:rsidRPr="0059550D">
              <w:rPr>
                <w:lang w:val="en-IE"/>
              </w:rPr>
              <w:t xml:space="preserve">Value of the admissible tender with the lowest value. </w:t>
            </w:r>
            <w:r w:rsidRPr="0059550D">
              <w:rPr>
                <w:i/>
                <w:lang w:val="en-IE"/>
              </w:rPr>
              <w:t>[Merged &amp; shortened].</w:t>
            </w:r>
          </w:p>
        </w:tc>
        <w:tc>
          <w:tcPr>
            <w:tcW w:w="3022" w:type="pct"/>
          </w:tcPr>
          <w:p w14:paraId="58377645" w14:textId="1E2EACDD" w:rsidR="00F51E39" w:rsidRPr="0059550D" w:rsidRDefault="00F03B4E" w:rsidP="00AB6DDE">
            <w:pPr>
              <w:rPr>
                <w:lang w:val="en-IE"/>
              </w:rPr>
            </w:pPr>
            <w:r w:rsidRPr="0059550D">
              <w:rPr>
                <w:lang w:val="en-IE"/>
              </w:rPr>
              <w:lastRenderedPageBreak/>
              <w:t xml:space="preserve">There is </w:t>
            </w:r>
            <w:r w:rsidR="00F51E39" w:rsidRPr="0059550D">
              <w:rPr>
                <w:lang w:val="en-IE"/>
              </w:rPr>
              <w:t>a three level approach to publishing information.</w:t>
            </w:r>
          </w:p>
          <w:p w14:paraId="2DCB3253" w14:textId="68E48EE3" w:rsidR="00F51E39" w:rsidRPr="0059550D" w:rsidRDefault="00F51E39" w:rsidP="00DC6C47">
            <w:pPr>
              <w:pStyle w:val="ListParagraph"/>
              <w:numPr>
                <w:ilvl w:val="0"/>
                <w:numId w:val="20"/>
              </w:numPr>
              <w:rPr>
                <w:lang w:val="en-IE"/>
              </w:rPr>
            </w:pPr>
            <w:r w:rsidRPr="0059550D">
              <w:rPr>
                <w:lang w:val="en-IE"/>
              </w:rPr>
              <w:lastRenderedPageBreak/>
              <w:t xml:space="preserve">By default, all information in a notice should be published. </w:t>
            </w:r>
          </w:p>
          <w:p w14:paraId="568D9B86" w14:textId="4E8C980C" w:rsidR="00F51E39" w:rsidRPr="0059550D" w:rsidRDefault="00F03B4E" w:rsidP="00DC6C47">
            <w:pPr>
              <w:pStyle w:val="ListParagraph"/>
              <w:numPr>
                <w:ilvl w:val="0"/>
                <w:numId w:val="20"/>
              </w:numPr>
              <w:rPr>
                <w:lang w:val="en-IE"/>
              </w:rPr>
            </w:pPr>
            <w:r w:rsidRPr="0059550D">
              <w:rPr>
                <w:lang w:val="en-IE"/>
              </w:rPr>
              <w:t xml:space="preserve">Instead of a contract value, buyers can provide the lowest and highest tender value (BT-710) and (BT-711). </w:t>
            </w:r>
          </w:p>
          <w:p w14:paraId="02B1D5D0" w14:textId="7821EA04" w:rsidR="00F03B4E" w:rsidRPr="0059550D" w:rsidRDefault="00F03B4E" w:rsidP="00DC6C47">
            <w:pPr>
              <w:pStyle w:val="ListParagraph"/>
              <w:numPr>
                <w:ilvl w:val="0"/>
                <w:numId w:val="20"/>
              </w:numPr>
              <w:rPr>
                <w:lang w:val="en-IE"/>
              </w:rPr>
            </w:pPr>
            <w:r w:rsidRPr="0059550D">
              <w:rPr>
                <w:lang w:val="en-IE"/>
              </w:rPr>
              <w:t xml:space="preserve">If justified, buyers can </w:t>
            </w:r>
            <w:r w:rsidR="00F73663" w:rsidRPr="0059550D">
              <w:rPr>
                <w:lang w:val="en-IE"/>
              </w:rPr>
              <w:t xml:space="preserve">use Not Immediately Published (BG-8) </w:t>
            </w:r>
            <w:r w:rsidR="00CB1C3A" w:rsidRPr="0059550D">
              <w:rPr>
                <w:lang w:val="en-IE"/>
              </w:rPr>
              <w:t xml:space="preserve">to </w:t>
            </w:r>
            <w:r w:rsidRPr="0059550D">
              <w:rPr>
                <w:lang w:val="en-IE"/>
              </w:rPr>
              <w:t>mark certain information</w:t>
            </w:r>
            <w:r w:rsidR="00021F6D" w:rsidRPr="0059550D">
              <w:rPr>
                <w:lang w:val="en-IE"/>
              </w:rPr>
              <w:t xml:space="preserve"> (see Unpublished Information BT-195 codelist) </w:t>
            </w:r>
            <w:r w:rsidR="001E07FF" w:rsidRPr="0059550D">
              <w:rPr>
                <w:lang w:val="en-IE"/>
              </w:rPr>
              <w:t xml:space="preserve">as unpublished. </w:t>
            </w:r>
            <w:r w:rsidR="00060CE3" w:rsidRPr="0059550D">
              <w:rPr>
                <w:lang w:val="en-IE"/>
              </w:rPr>
              <w:t>Any unpublished field should be justified and a deadline for non-publication should be given.</w:t>
            </w:r>
          </w:p>
          <w:p w14:paraId="3474FF4A" w14:textId="77777777" w:rsidR="00F51E39" w:rsidRPr="0059550D" w:rsidRDefault="00F51E39" w:rsidP="00AB6DDE">
            <w:pPr>
              <w:rPr>
                <w:b/>
                <w:lang w:val="en-IE"/>
              </w:rPr>
            </w:pPr>
          </w:p>
          <w:p w14:paraId="160AB532" w14:textId="098EDB2B" w:rsidR="00AB6DDE" w:rsidRPr="0059550D" w:rsidRDefault="00AB6DDE" w:rsidP="00AB6DDE">
            <w:pPr>
              <w:rPr>
                <w:b/>
                <w:lang w:val="en-IE"/>
              </w:rPr>
            </w:pPr>
            <w:r w:rsidRPr="0059550D">
              <w:rPr>
                <w:b/>
                <w:lang w:val="en-IE"/>
              </w:rPr>
              <w:t>Reason for Mandatory</w:t>
            </w:r>
            <w:r w:rsidR="005E7089">
              <w:rPr>
                <w:b/>
                <w:lang w:val="en-IE"/>
              </w:rPr>
              <w:t xml:space="preserve"> or Optional</w:t>
            </w:r>
          </w:p>
          <w:p w14:paraId="35546CAC" w14:textId="14D7EE72" w:rsidR="00AB6DDE" w:rsidRPr="0059550D" w:rsidRDefault="00AB6DDE" w:rsidP="00AB6DDE">
            <w:pPr>
              <w:rPr>
                <w:lang w:val="en-IE"/>
              </w:rPr>
            </w:pPr>
            <w:r w:rsidRPr="0059550D">
              <w:rPr>
                <w:lang w:val="en-IE"/>
              </w:rPr>
              <w:t>None.</w:t>
            </w:r>
            <w:r w:rsidR="00A10223" w:rsidRPr="0059550D">
              <w:rPr>
                <w:lang w:val="en-IE"/>
              </w:rPr>
              <w:t xml:space="preserve"> (See also </w:t>
            </w:r>
            <w:r w:rsidR="00A10223" w:rsidRPr="0059550D">
              <w:rPr>
                <w:lang w:val="en-IE"/>
              </w:rPr>
              <w:fldChar w:fldCharType="begin"/>
            </w:r>
            <w:r w:rsidR="00A10223" w:rsidRPr="0059550D">
              <w:rPr>
                <w:lang w:val="en-IE"/>
              </w:rPr>
              <w:instrText xml:space="preserve"> REF _Ref19553030 \r \h </w:instrText>
            </w:r>
            <w:r w:rsidR="00A10223" w:rsidRPr="0059550D">
              <w:rPr>
                <w:lang w:val="en-IE"/>
              </w:rPr>
            </w:r>
            <w:r w:rsidR="00A10223" w:rsidRPr="0059550D">
              <w:rPr>
                <w:lang w:val="en-IE"/>
              </w:rPr>
              <w:fldChar w:fldCharType="separate"/>
            </w:r>
            <w:r w:rsidR="00031242">
              <w:rPr>
                <w:lang w:val="en-IE"/>
              </w:rPr>
              <w:t>3.5.2</w:t>
            </w:r>
            <w:r w:rsidR="00A10223" w:rsidRPr="0059550D">
              <w:rPr>
                <w:lang w:val="en-IE"/>
              </w:rPr>
              <w:fldChar w:fldCharType="end"/>
            </w:r>
            <w:r w:rsidR="00A10223" w:rsidRPr="0059550D">
              <w:rPr>
                <w:lang w:val="en-IE"/>
              </w:rPr>
              <w:t xml:space="preserve">.) </w:t>
            </w:r>
          </w:p>
          <w:p w14:paraId="01E84E75" w14:textId="5EC3F058" w:rsidR="00AB6DDE" w:rsidRPr="0059550D" w:rsidRDefault="00AB6DDE" w:rsidP="00AB6DDE">
            <w:pPr>
              <w:rPr>
                <w:lang w:val="en-IE"/>
              </w:rPr>
            </w:pPr>
          </w:p>
          <w:p w14:paraId="4D3BD04F" w14:textId="69BF969C" w:rsidR="00AB6DDE" w:rsidRPr="0059550D" w:rsidRDefault="00AB6DDE" w:rsidP="00AB6DDE">
            <w:pPr>
              <w:rPr>
                <w:b/>
                <w:lang w:val="en-IE"/>
              </w:rPr>
            </w:pPr>
            <w:r w:rsidRPr="0059550D">
              <w:rPr>
                <w:b/>
                <w:lang w:val="en-IE"/>
              </w:rPr>
              <w:t>Reasons for Unused</w:t>
            </w:r>
          </w:p>
          <w:p w14:paraId="6F5F9F9C" w14:textId="263FED6C" w:rsidR="007E3794" w:rsidRPr="0059550D" w:rsidRDefault="006F6B91" w:rsidP="008C1E67">
            <w:pPr>
              <w:rPr>
                <w:lang w:val="en-IE"/>
              </w:rPr>
            </w:pPr>
            <w:r w:rsidRPr="0059550D">
              <w:rPr>
                <w:lang w:val="en-IE"/>
              </w:rPr>
              <w:t xml:space="preserve">While in certain countries there seems to be hesitance to publish information about public contracts, esp. their value, there is no evidence of such information being harmful. In particular, </w:t>
            </w:r>
            <w:r w:rsidR="0058127F" w:rsidRPr="0059550D">
              <w:rPr>
                <w:lang w:val="en-IE"/>
              </w:rPr>
              <w:t>two large scale independent reviews – one conducted by the Center For Global Development</w:t>
            </w:r>
            <w:r w:rsidR="0058127F" w:rsidRPr="0059550D">
              <w:rPr>
                <w:rStyle w:val="FootnoteReference"/>
                <w:lang w:val="en-IE"/>
              </w:rPr>
              <w:footnoteReference w:id="90"/>
            </w:r>
            <w:r w:rsidR="0058127F" w:rsidRPr="0059550D">
              <w:rPr>
                <w:lang w:val="en-IE"/>
              </w:rPr>
              <w:t xml:space="preserve"> and one by the Open Contracting Partnership</w:t>
            </w:r>
            <w:r w:rsidR="0058127F" w:rsidRPr="0059550D">
              <w:rPr>
                <w:rStyle w:val="FootnoteReference"/>
                <w:lang w:val="en-IE"/>
              </w:rPr>
              <w:footnoteReference w:id="91"/>
            </w:r>
            <w:r w:rsidR="0058127F" w:rsidRPr="0059550D">
              <w:rPr>
                <w:lang w:val="en-IE"/>
              </w:rPr>
              <w:t xml:space="preserve"> - have </w:t>
            </w:r>
            <w:r w:rsidR="008C1E67">
              <w:rPr>
                <w:lang w:val="en-IE"/>
              </w:rPr>
              <w:t xml:space="preserve">failed to identify </w:t>
            </w:r>
            <w:r w:rsidR="0058127F" w:rsidRPr="0059550D">
              <w:rPr>
                <w:lang w:val="en-IE"/>
              </w:rPr>
              <w:t xml:space="preserve">any examples or evidence supporting the most popular theories on </w:t>
            </w:r>
            <w:r w:rsidR="008C1E67">
              <w:rPr>
                <w:lang w:val="en-IE"/>
              </w:rPr>
              <w:t xml:space="preserve">the negative impacts of publishing </w:t>
            </w:r>
            <w:r w:rsidR="0058127F" w:rsidRPr="0059550D">
              <w:rPr>
                <w:lang w:val="en-IE"/>
              </w:rPr>
              <w:t xml:space="preserve">(e.g. supporting collusion, </w:t>
            </w:r>
            <w:r w:rsidRPr="0059550D">
              <w:rPr>
                <w:lang w:val="en-IE"/>
              </w:rPr>
              <w:t>hindering innovation</w:t>
            </w:r>
            <w:r w:rsidR="0058127F" w:rsidRPr="0059550D">
              <w:rPr>
                <w:lang w:val="en-IE"/>
              </w:rPr>
              <w:t xml:space="preserve">). </w:t>
            </w:r>
            <w:r w:rsidR="007E3794" w:rsidRPr="0059550D">
              <w:rPr>
                <w:lang w:val="en-IE"/>
              </w:rPr>
              <w:t>In such cases, BG-8 as well as BT-710 and BT-711 may be unused in a given implementation of eForms.</w:t>
            </w:r>
          </w:p>
        </w:tc>
      </w:tr>
    </w:tbl>
    <w:p w14:paraId="401D7FBA" w14:textId="2CA9FD91" w:rsidR="006D608E" w:rsidRPr="0059550D" w:rsidRDefault="00A702FB" w:rsidP="006D608E">
      <w:pPr>
        <w:rPr>
          <w:b/>
          <w:lang w:val="en-IE"/>
        </w:rPr>
      </w:pPr>
      <w:r w:rsidRPr="0059550D">
        <w:rPr>
          <w:lang w:val="en-IE"/>
        </w:rPr>
        <w:lastRenderedPageBreak/>
        <w:br w:type="page"/>
      </w:r>
    </w:p>
    <w:p w14:paraId="28CAB208" w14:textId="3D4F9C1A" w:rsidR="00B04C1C" w:rsidRPr="0059550D" w:rsidRDefault="00382DD4" w:rsidP="00EB186D">
      <w:pPr>
        <w:pStyle w:val="Heading1"/>
        <w:numPr>
          <w:ilvl w:val="0"/>
          <w:numId w:val="0"/>
        </w:numPr>
        <w:ind w:left="432" w:hanging="432"/>
        <w:rPr>
          <w:lang w:val="en-IE"/>
        </w:rPr>
      </w:pPr>
      <w:bookmarkStart w:id="78" w:name="_Ref19621029"/>
      <w:bookmarkStart w:id="79" w:name="_Ref19621053"/>
      <w:bookmarkStart w:id="80" w:name="_Ref19627570"/>
      <w:bookmarkStart w:id="81" w:name="_Toc25684108"/>
      <w:r>
        <w:rPr>
          <w:lang w:val="en-IE"/>
        </w:rPr>
        <w:lastRenderedPageBreak/>
        <w:t>Checklist 2</w:t>
      </w:r>
      <w:r w:rsidR="004163BB" w:rsidRPr="0059550D">
        <w:rPr>
          <w:lang w:val="en-IE"/>
        </w:rPr>
        <w:t xml:space="preserve"> </w:t>
      </w:r>
      <w:r w:rsidR="00075259" w:rsidRPr="0059550D">
        <w:rPr>
          <w:lang w:val="en-IE"/>
        </w:rPr>
        <w:t>–</w:t>
      </w:r>
      <w:r w:rsidR="004163BB" w:rsidRPr="0059550D">
        <w:rPr>
          <w:lang w:val="en-IE"/>
        </w:rPr>
        <w:t xml:space="preserve"> </w:t>
      </w:r>
      <w:r w:rsidR="00210DFF" w:rsidRPr="0059550D">
        <w:rPr>
          <w:lang w:val="en-IE"/>
        </w:rPr>
        <w:t>Tailoring code</w:t>
      </w:r>
      <w:r w:rsidR="00743230">
        <w:rPr>
          <w:lang w:val="en-IE"/>
        </w:rPr>
        <w:t xml:space="preserve"> </w:t>
      </w:r>
      <w:r w:rsidR="00210DFF" w:rsidRPr="0059550D">
        <w:rPr>
          <w:lang w:val="en-IE"/>
        </w:rPr>
        <w:t>lists</w:t>
      </w:r>
      <w:bookmarkEnd w:id="78"/>
      <w:bookmarkEnd w:id="79"/>
      <w:bookmarkEnd w:id="80"/>
      <w:bookmarkEnd w:id="81"/>
    </w:p>
    <w:p w14:paraId="7E6B55D4" w14:textId="42564EE0" w:rsidR="00B04C1C" w:rsidRPr="0059550D" w:rsidRDefault="00B04C1C" w:rsidP="00B04C1C">
      <w:pPr>
        <w:pStyle w:val="NoSpacing"/>
        <w:rPr>
          <w:lang w:val="en-IE"/>
        </w:rPr>
      </w:pPr>
      <w:r w:rsidRPr="0059550D">
        <w:rPr>
          <w:lang w:val="en-IE"/>
        </w:rPr>
        <w:t xml:space="preserve">As </w:t>
      </w:r>
      <w:r w:rsidR="007F3A60">
        <w:rPr>
          <w:lang w:val="en-IE"/>
        </w:rPr>
        <w:t>mentioned</w:t>
      </w:r>
      <w:r w:rsidR="007F3A60" w:rsidRPr="0059550D">
        <w:rPr>
          <w:lang w:val="en-IE"/>
        </w:rPr>
        <w:t xml:space="preserve"> </w:t>
      </w:r>
      <w:r w:rsidRPr="0059550D">
        <w:rPr>
          <w:lang w:val="en-IE"/>
        </w:rPr>
        <w:t xml:space="preserve">in </w:t>
      </w:r>
      <w:r w:rsidRPr="0059550D">
        <w:rPr>
          <w:lang w:val="en-IE"/>
        </w:rPr>
        <w:fldChar w:fldCharType="begin"/>
      </w:r>
      <w:r w:rsidRPr="0059550D">
        <w:rPr>
          <w:lang w:val="en-IE"/>
        </w:rPr>
        <w:instrText xml:space="preserve"> REF _Ref19625627 \r \h </w:instrText>
      </w:r>
      <w:r w:rsidRPr="0059550D">
        <w:rPr>
          <w:lang w:val="en-IE"/>
        </w:rPr>
      </w:r>
      <w:r w:rsidRPr="0059550D">
        <w:rPr>
          <w:lang w:val="en-IE"/>
        </w:rPr>
        <w:fldChar w:fldCharType="separate"/>
      </w:r>
      <w:r w:rsidR="00031242">
        <w:rPr>
          <w:lang w:val="en-IE"/>
        </w:rPr>
        <w:t>3.6</w:t>
      </w:r>
      <w:r w:rsidRPr="0059550D">
        <w:rPr>
          <w:lang w:val="en-IE"/>
        </w:rPr>
        <w:fldChar w:fldCharType="end"/>
      </w:r>
      <w:r w:rsidRPr="0059550D">
        <w:rPr>
          <w:lang w:val="en-IE"/>
        </w:rPr>
        <w:t>, certain codelists can be tailored mainly by not using certain codes.</w:t>
      </w:r>
    </w:p>
    <w:p w14:paraId="313EE5C8" w14:textId="769E5B3E" w:rsidR="00B04C1C" w:rsidRPr="0059550D" w:rsidRDefault="00B04C1C" w:rsidP="00B04C1C">
      <w:pPr>
        <w:pStyle w:val="NoSpacing"/>
        <w:rPr>
          <w:lang w:val="en-IE"/>
        </w:rPr>
      </w:pPr>
    </w:p>
    <w:p w14:paraId="3AE05AFE" w14:textId="31385330" w:rsidR="00B04C1C" w:rsidRPr="0059550D" w:rsidRDefault="00B04C1C" w:rsidP="00B04C1C">
      <w:pPr>
        <w:pStyle w:val="NoSpacing"/>
        <w:rPr>
          <w:lang w:val="en-IE"/>
        </w:rPr>
      </w:pPr>
      <w:r w:rsidRPr="0059550D">
        <w:rPr>
          <w:lang w:val="en-IE"/>
        </w:rPr>
        <w:fldChar w:fldCharType="begin"/>
      </w:r>
      <w:r w:rsidRPr="0059550D">
        <w:rPr>
          <w:lang w:val="en-IE"/>
        </w:rPr>
        <w:instrText xml:space="preserve"> REF _Ref19625670 \h </w:instrText>
      </w:r>
      <w:r w:rsidRPr="0059550D">
        <w:rPr>
          <w:lang w:val="en-IE"/>
        </w:rPr>
      </w:r>
      <w:r w:rsidRPr="0059550D">
        <w:rPr>
          <w:lang w:val="en-IE"/>
        </w:rPr>
        <w:fldChar w:fldCharType="separate"/>
      </w:r>
      <w:r w:rsidR="00031242" w:rsidRPr="0059550D">
        <w:rPr>
          <w:lang w:val="en-IE"/>
        </w:rPr>
        <w:t xml:space="preserve">Table </w:t>
      </w:r>
      <w:r w:rsidR="00031242">
        <w:rPr>
          <w:noProof/>
          <w:lang w:val="en-IE"/>
        </w:rPr>
        <w:t>2</w:t>
      </w:r>
      <w:r w:rsidRPr="0059550D">
        <w:rPr>
          <w:lang w:val="en-IE"/>
        </w:rPr>
        <w:fldChar w:fldCharType="end"/>
      </w:r>
      <w:r w:rsidRPr="0059550D">
        <w:rPr>
          <w:lang w:val="en-IE"/>
        </w:rPr>
        <w:t xml:space="preserve"> </w:t>
      </w:r>
      <w:r w:rsidRPr="0059550D">
        <w:rPr>
          <w:lang w:val="en-IE"/>
        </w:rPr>
        <w:fldChar w:fldCharType="begin"/>
      </w:r>
      <w:r w:rsidRPr="0059550D">
        <w:rPr>
          <w:lang w:val="en-IE"/>
        </w:rPr>
        <w:instrText xml:space="preserve"> REF _Ref19625675 \p \h </w:instrText>
      </w:r>
      <w:r w:rsidRPr="0059550D">
        <w:rPr>
          <w:lang w:val="en-IE"/>
        </w:rPr>
      </w:r>
      <w:r w:rsidRPr="0059550D">
        <w:rPr>
          <w:lang w:val="en-IE"/>
        </w:rPr>
        <w:fldChar w:fldCharType="separate"/>
      </w:r>
      <w:r w:rsidR="00031242">
        <w:rPr>
          <w:lang w:val="en-IE"/>
        </w:rPr>
        <w:t>below</w:t>
      </w:r>
      <w:r w:rsidRPr="0059550D">
        <w:rPr>
          <w:lang w:val="en-IE"/>
        </w:rPr>
        <w:fldChar w:fldCharType="end"/>
      </w:r>
      <w:r w:rsidRPr="0059550D">
        <w:rPr>
          <w:lang w:val="en-IE"/>
        </w:rPr>
        <w:t xml:space="preserve"> lists the code</w:t>
      </w:r>
      <w:r w:rsidR="00743230">
        <w:rPr>
          <w:lang w:val="en-IE"/>
        </w:rPr>
        <w:t xml:space="preserve"> </w:t>
      </w:r>
      <w:r w:rsidRPr="0059550D">
        <w:rPr>
          <w:lang w:val="en-IE"/>
        </w:rPr>
        <w:t xml:space="preserve">lists for which a decision should be taken. </w:t>
      </w:r>
      <w:r w:rsidRPr="0059550D">
        <w:rPr>
          <w:rFonts w:cstheme="minorHAnsi"/>
          <w:lang w:val="en-IE"/>
        </w:rPr>
        <w:t>The code</w:t>
      </w:r>
      <w:r w:rsidR="00743230">
        <w:rPr>
          <w:rFonts w:cstheme="minorHAnsi"/>
          <w:lang w:val="en-IE"/>
        </w:rPr>
        <w:t xml:space="preserve"> </w:t>
      </w:r>
      <w:r w:rsidRPr="0059550D">
        <w:rPr>
          <w:rFonts w:cstheme="minorHAnsi"/>
          <w:lang w:val="en-IE"/>
        </w:rPr>
        <w:t>lists are listed in the same order as their corresponding fields in the eForms’ Annex (i.e. not in the order of importance).</w:t>
      </w:r>
      <w:r w:rsidR="00743230">
        <w:rPr>
          <w:lang w:val="en-IE"/>
        </w:rPr>
        <w:t xml:space="preserve"> The code lists </w:t>
      </w:r>
      <w:r w:rsidR="008405DB">
        <w:rPr>
          <w:lang w:val="en-IE"/>
        </w:rPr>
        <w:t>will be made</w:t>
      </w:r>
      <w:r w:rsidR="00743230">
        <w:rPr>
          <w:lang w:val="en-IE"/>
        </w:rPr>
        <w:t xml:space="preserve"> available </w:t>
      </w:r>
      <w:r w:rsidR="008405DB">
        <w:rPr>
          <w:lang w:val="en-IE"/>
        </w:rPr>
        <w:t xml:space="preserve">online in </w:t>
      </w:r>
      <w:r w:rsidR="00180632">
        <w:rPr>
          <w:lang w:val="en-IE"/>
        </w:rPr>
        <w:t>the first quarter of</w:t>
      </w:r>
      <w:r w:rsidR="008405DB">
        <w:rPr>
          <w:lang w:val="en-IE"/>
        </w:rPr>
        <w:t xml:space="preserve"> 2020 by the Publications Office </w:t>
      </w:r>
      <w:r w:rsidR="00EF07F8">
        <w:rPr>
          <w:lang w:val="en-IE"/>
        </w:rPr>
        <w:t>(</w:t>
      </w:r>
      <w:r w:rsidR="008405DB">
        <w:rPr>
          <w:lang w:val="en-IE"/>
        </w:rPr>
        <w:t>on EU Vocabularies</w:t>
      </w:r>
      <w:r w:rsidR="00EF07F8">
        <w:rPr>
          <w:lang w:val="en-IE"/>
        </w:rPr>
        <w:t>)</w:t>
      </w:r>
      <w:r w:rsidR="00180632">
        <w:rPr>
          <w:lang w:val="en-IE"/>
        </w:rPr>
        <w:t>, updating the currently published code lists</w:t>
      </w:r>
      <w:r w:rsidR="00DA54B7">
        <w:rPr>
          <w:rStyle w:val="FootnoteReference"/>
          <w:lang w:val="en-IE"/>
        </w:rPr>
        <w:footnoteReference w:id="92"/>
      </w:r>
      <w:r w:rsidR="00743230">
        <w:rPr>
          <w:lang w:val="en-IE"/>
        </w:rPr>
        <w:t xml:space="preserve"> </w:t>
      </w:r>
      <w:r w:rsidRPr="0059550D">
        <w:rPr>
          <w:lang w:val="en-IE"/>
        </w:rPr>
        <w:t>. Additionally, the table contains decision-relevant information</w:t>
      </w:r>
      <w:r w:rsidR="007D46FD" w:rsidRPr="0059550D">
        <w:rPr>
          <w:lang w:val="en-IE"/>
        </w:rPr>
        <w:t xml:space="preserve"> that discusses the use of individual codes.</w:t>
      </w:r>
    </w:p>
    <w:p w14:paraId="341F5635" w14:textId="77777777" w:rsidR="00B04C1C" w:rsidRPr="0059550D" w:rsidRDefault="00B04C1C" w:rsidP="00B04C1C">
      <w:pPr>
        <w:pStyle w:val="NoSpacing"/>
        <w:rPr>
          <w:lang w:val="en-IE"/>
        </w:rPr>
      </w:pPr>
    </w:p>
    <w:p w14:paraId="6B33FCBD" w14:textId="765EEF75" w:rsidR="00AE0C59" w:rsidRPr="0059550D" w:rsidRDefault="00AE0C59" w:rsidP="00AE0C59">
      <w:pPr>
        <w:pStyle w:val="Caption"/>
        <w:rPr>
          <w:lang w:val="en-IE"/>
        </w:rPr>
      </w:pPr>
      <w:bookmarkStart w:id="82" w:name="_Ref19625670"/>
      <w:bookmarkStart w:id="83" w:name="_Ref19625675"/>
      <w:r w:rsidRPr="0059550D">
        <w:rPr>
          <w:lang w:val="en-IE"/>
        </w:rPr>
        <w:t xml:space="preserve">Table </w:t>
      </w:r>
      <w:r w:rsidR="00BC2658" w:rsidRPr="0059550D">
        <w:rPr>
          <w:lang w:val="en-IE"/>
        </w:rPr>
        <w:fldChar w:fldCharType="begin"/>
      </w:r>
      <w:r w:rsidR="00BC2658" w:rsidRPr="0059550D">
        <w:rPr>
          <w:lang w:val="en-IE"/>
        </w:rPr>
        <w:instrText xml:space="preserve"> SEQ Table \* ARABIC </w:instrText>
      </w:r>
      <w:r w:rsidR="00BC2658" w:rsidRPr="0059550D">
        <w:rPr>
          <w:lang w:val="en-IE"/>
        </w:rPr>
        <w:fldChar w:fldCharType="separate"/>
      </w:r>
      <w:r w:rsidR="00031242">
        <w:rPr>
          <w:noProof/>
          <w:lang w:val="en-IE"/>
        </w:rPr>
        <w:t>2</w:t>
      </w:r>
      <w:r w:rsidR="00BC2658" w:rsidRPr="0059550D">
        <w:rPr>
          <w:noProof/>
          <w:lang w:val="en-IE"/>
        </w:rPr>
        <w:fldChar w:fldCharType="end"/>
      </w:r>
      <w:bookmarkEnd w:id="82"/>
      <w:r w:rsidRPr="0059550D">
        <w:rPr>
          <w:lang w:val="en-IE"/>
        </w:rPr>
        <w:t xml:space="preserve"> Codelists</w:t>
      </w:r>
      <w:bookmarkEnd w:id="83"/>
    </w:p>
    <w:tbl>
      <w:tblPr>
        <w:tblStyle w:val="TableGrid"/>
        <w:tblW w:w="5000" w:type="pct"/>
        <w:tblLook w:val="04A0" w:firstRow="1" w:lastRow="0" w:firstColumn="1" w:lastColumn="0" w:noHBand="0" w:noVBand="1"/>
      </w:tblPr>
      <w:tblGrid>
        <w:gridCol w:w="1389"/>
        <w:gridCol w:w="7676"/>
        <w:gridCol w:w="5155"/>
      </w:tblGrid>
      <w:tr w:rsidR="00B64446" w:rsidRPr="0059550D" w14:paraId="534F7A71" w14:textId="77777777" w:rsidTr="00651044">
        <w:trPr>
          <w:tblHeader/>
        </w:trPr>
        <w:tc>
          <w:tcPr>
            <w:tcW w:w="483" w:type="pct"/>
            <w:shd w:val="clear" w:color="auto" w:fill="8DB3E2" w:themeFill="text2" w:themeFillTint="66"/>
          </w:tcPr>
          <w:p w14:paraId="048E8C5A" w14:textId="77777777" w:rsidR="00B64446" w:rsidRPr="0059550D" w:rsidRDefault="00B64446" w:rsidP="00782E67">
            <w:pPr>
              <w:rPr>
                <w:b/>
                <w:lang w:val="en-IE"/>
              </w:rPr>
            </w:pPr>
            <w:r w:rsidRPr="0059550D">
              <w:rPr>
                <w:b/>
                <w:lang w:val="en-IE"/>
              </w:rPr>
              <w:t>Name</w:t>
            </w:r>
          </w:p>
        </w:tc>
        <w:tc>
          <w:tcPr>
            <w:tcW w:w="2699" w:type="pct"/>
            <w:shd w:val="clear" w:color="auto" w:fill="8DB3E2" w:themeFill="text2" w:themeFillTint="66"/>
          </w:tcPr>
          <w:p w14:paraId="6BAB008E" w14:textId="1B864365" w:rsidR="00B64446" w:rsidRPr="0059550D" w:rsidRDefault="00763AB8" w:rsidP="00782E67">
            <w:pPr>
              <w:rPr>
                <w:b/>
                <w:lang w:val="en-IE"/>
              </w:rPr>
            </w:pPr>
            <w:r>
              <w:rPr>
                <w:b/>
                <w:lang w:val="en-IE"/>
              </w:rPr>
              <w:t>Description of</w:t>
            </w:r>
            <w:r w:rsidR="00DA54B7">
              <w:rPr>
                <w:b/>
                <w:lang w:val="en-IE"/>
              </w:rPr>
              <w:t xml:space="preserve"> the codes</w:t>
            </w:r>
          </w:p>
        </w:tc>
        <w:tc>
          <w:tcPr>
            <w:tcW w:w="1818" w:type="pct"/>
            <w:shd w:val="clear" w:color="auto" w:fill="8DB3E2" w:themeFill="text2" w:themeFillTint="66"/>
          </w:tcPr>
          <w:p w14:paraId="1A4139B4" w14:textId="431719E0" w:rsidR="00B64446" w:rsidRPr="0059550D" w:rsidRDefault="00EA68FF" w:rsidP="00782E67">
            <w:pPr>
              <w:rPr>
                <w:b/>
                <w:lang w:val="en-IE"/>
              </w:rPr>
            </w:pPr>
            <w:r w:rsidRPr="0059550D">
              <w:rPr>
                <w:b/>
                <w:lang w:val="en-IE"/>
              </w:rPr>
              <w:t>Decision-relevant information</w:t>
            </w:r>
          </w:p>
        </w:tc>
      </w:tr>
      <w:tr w:rsidR="00B64446" w:rsidRPr="0059550D" w14:paraId="21E65997" w14:textId="77777777" w:rsidTr="00651044">
        <w:tc>
          <w:tcPr>
            <w:tcW w:w="483" w:type="pct"/>
            <w:shd w:val="clear" w:color="auto" w:fill="8DB3E2" w:themeFill="text2" w:themeFillTint="66"/>
          </w:tcPr>
          <w:p w14:paraId="500E1DAE" w14:textId="7BF35A41" w:rsidR="00B64446" w:rsidRPr="0059550D" w:rsidRDefault="008B6DC8" w:rsidP="00782E67">
            <w:pPr>
              <w:rPr>
                <w:i/>
                <w:szCs w:val="24"/>
                <w:lang w:val="en-IE"/>
              </w:rPr>
            </w:pPr>
            <w:r w:rsidRPr="0059550D">
              <w:rPr>
                <w:i/>
                <w:szCs w:val="24"/>
                <w:lang w:val="en-IE"/>
              </w:rPr>
              <w:t>Organisation role</w:t>
            </w:r>
            <w:r w:rsidR="00475786" w:rsidRPr="0059550D">
              <w:rPr>
                <w:i/>
                <w:szCs w:val="24"/>
                <w:lang w:val="en-IE"/>
              </w:rPr>
              <w:t xml:space="preserve"> (BT-08)</w:t>
            </w:r>
          </w:p>
        </w:tc>
        <w:tc>
          <w:tcPr>
            <w:tcW w:w="2699" w:type="pct"/>
            <w:shd w:val="clear" w:color="auto" w:fill="8DB3E2" w:themeFill="text2" w:themeFillTint="66"/>
          </w:tcPr>
          <w:p w14:paraId="7C981380" w14:textId="77777777" w:rsidR="00D33B8A" w:rsidRPr="0059550D" w:rsidRDefault="00D33B8A" w:rsidP="00DC6C47">
            <w:pPr>
              <w:pStyle w:val="ListParagraph"/>
              <w:numPr>
                <w:ilvl w:val="0"/>
                <w:numId w:val="10"/>
              </w:numPr>
              <w:spacing w:line="276" w:lineRule="auto"/>
              <w:contextualSpacing w:val="0"/>
              <w:rPr>
                <w:i/>
                <w:szCs w:val="24"/>
                <w:lang w:val="en-IE"/>
              </w:rPr>
            </w:pPr>
            <w:r w:rsidRPr="0059550D">
              <w:rPr>
                <w:i/>
                <w:szCs w:val="24"/>
                <w:lang w:val="en-IE"/>
              </w:rPr>
              <w:t>Buyer</w:t>
            </w:r>
          </w:p>
          <w:p w14:paraId="7131018B" w14:textId="77777777" w:rsidR="00D33B8A" w:rsidRPr="0059550D" w:rsidRDefault="00D33B8A" w:rsidP="00DC6C47">
            <w:pPr>
              <w:pStyle w:val="ListParagraph"/>
              <w:numPr>
                <w:ilvl w:val="0"/>
                <w:numId w:val="10"/>
              </w:numPr>
              <w:spacing w:line="276" w:lineRule="auto"/>
              <w:contextualSpacing w:val="0"/>
              <w:rPr>
                <w:i/>
                <w:szCs w:val="24"/>
                <w:lang w:val="en-IE"/>
              </w:rPr>
            </w:pPr>
            <w:r w:rsidRPr="0059550D">
              <w:rPr>
                <w:i/>
                <w:szCs w:val="24"/>
                <w:lang w:val="en-IE"/>
              </w:rPr>
              <w:t>Procurement service provider</w:t>
            </w:r>
          </w:p>
          <w:p w14:paraId="00152F01" w14:textId="77777777" w:rsidR="00D33B8A" w:rsidRPr="0059550D" w:rsidRDefault="00D33B8A" w:rsidP="00DC6C47">
            <w:pPr>
              <w:pStyle w:val="ListParagraph"/>
              <w:numPr>
                <w:ilvl w:val="0"/>
                <w:numId w:val="10"/>
              </w:numPr>
              <w:spacing w:line="276" w:lineRule="auto"/>
              <w:contextualSpacing w:val="0"/>
              <w:rPr>
                <w:i/>
                <w:szCs w:val="24"/>
                <w:lang w:val="en-IE"/>
              </w:rPr>
            </w:pPr>
            <w:r w:rsidRPr="0059550D">
              <w:rPr>
                <w:i/>
                <w:szCs w:val="24"/>
                <w:lang w:val="en-IE"/>
              </w:rPr>
              <w:t>Central purchasing body acquiring supplies and/or services intended for other buyers</w:t>
            </w:r>
          </w:p>
          <w:p w14:paraId="47B8F66E" w14:textId="77777777" w:rsidR="00D33B8A" w:rsidRPr="0059550D" w:rsidRDefault="00D33B8A" w:rsidP="00DC6C47">
            <w:pPr>
              <w:pStyle w:val="ListParagraph"/>
              <w:numPr>
                <w:ilvl w:val="0"/>
                <w:numId w:val="10"/>
              </w:numPr>
              <w:spacing w:line="276" w:lineRule="auto"/>
              <w:contextualSpacing w:val="0"/>
              <w:rPr>
                <w:i/>
                <w:szCs w:val="24"/>
                <w:lang w:val="en-IE"/>
              </w:rPr>
            </w:pPr>
            <w:r w:rsidRPr="0059550D">
              <w:rPr>
                <w:i/>
                <w:szCs w:val="24"/>
                <w:lang w:val="en-IE"/>
              </w:rPr>
              <w:t>Central purchasing body awarding public contracts or concluding framework agreements for works, supplies or services intended for other buyers</w:t>
            </w:r>
          </w:p>
          <w:p w14:paraId="1DD2B53A" w14:textId="77777777" w:rsidR="00D33B8A" w:rsidRPr="0059550D" w:rsidRDefault="00D33B8A" w:rsidP="00DC6C47">
            <w:pPr>
              <w:pStyle w:val="ListParagraph"/>
              <w:numPr>
                <w:ilvl w:val="0"/>
                <w:numId w:val="10"/>
              </w:numPr>
              <w:spacing w:line="276" w:lineRule="auto"/>
              <w:contextualSpacing w:val="0"/>
              <w:rPr>
                <w:i/>
                <w:szCs w:val="24"/>
                <w:lang w:val="en-IE"/>
              </w:rPr>
            </w:pPr>
            <w:r w:rsidRPr="0059550D">
              <w:rPr>
                <w:i/>
                <w:szCs w:val="24"/>
                <w:lang w:val="en-IE"/>
              </w:rPr>
              <w:t>Winner</w:t>
            </w:r>
          </w:p>
          <w:p w14:paraId="377F3C53" w14:textId="77777777" w:rsidR="00D33B8A" w:rsidRPr="0059550D" w:rsidRDefault="00D33B8A" w:rsidP="00DC6C47">
            <w:pPr>
              <w:pStyle w:val="ListParagraph"/>
              <w:numPr>
                <w:ilvl w:val="0"/>
                <w:numId w:val="10"/>
              </w:numPr>
              <w:spacing w:line="276" w:lineRule="auto"/>
              <w:contextualSpacing w:val="0"/>
              <w:rPr>
                <w:i/>
                <w:szCs w:val="24"/>
                <w:lang w:val="en-IE"/>
              </w:rPr>
            </w:pPr>
            <w:r w:rsidRPr="0059550D">
              <w:rPr>
                <w:i/>
                <w:szCs w:val="24"/>
                <w:lang w:val="en-IE"/>
              </w:rPr>
              <w:t>Subcontractor</w:t>
            </w:r>
          </w:p>
          <w:p w14:paraId="273A1638" w14:textId="77777777" w:rsidR="00D33B8A" w:rsidRPr="0059550D" w:rsidRDefault="00D33B8A" w:rsidP="00DC6C47">
            <w:pPr>
              <w:pStyle w:val="ListParagraph"/>
              <w:numPr>
                <w:ilvl w:val="0"/>
                <w:numId w:val="10"/>
              </w:numPr>
              <w:spacing w:line="276" w:lineRule="auto"/>
              <w:contextualSpacing w:val="0"/>
              <w:rPr>
                <w:i/>
                <w:szCs w:val="24"/>
                <w:lang w:val="en-IE"/>
              </w:rPr>
            </w:pPr>
            <w:r w:rsidRPr="0059550D">
              <w:rPr>
                <w:i/>
                <w:szCs w:val="24"/>
                <w:lang w:val="en-IE"/>
              </w:rPr>
              <w:t>Mediation organization</w:t>
            </w:r>
          </w:p>
          <w:p w14:paraId="7A73228E" w14:textId="77777777" w:rsidR="00D33B8A" w:rsidRPr="0059550D" w:rsidRDefault="00D33B8A" w:rsidP="00DC6C47">
            <w:pPr>
              <w:pStyle w:val="ListParagraph"/>
              <w:numPr>
                <w:ilvl w:val="0"/>
                <w:numId w:val="10"/>
              </w:numPr>
              <w:spacing w:line="276" w:lineRule="auto"/>
              <w:contextualSpacing w:val="0"/>
              <w:rPr>
                <w:i/>
                <w:szCs w:val="24"/>
                <w:lang w:val="en-IE"/>
              </w:rPr>
            </w:pPr>
            <w:r w:rsidRPr="0059550D">
              <w:rPr>
                <w:i/>
                <w:szCs w:val="24"/>
                <w:lang w:val="en-IE"/>
              </w:rPr>
              <w:t>Review organization</w:t>
            </w:r>
          </w:p>
          <w:p w14:paraId="2E0194FA" w14:textId="77777777" w:rsidR="00D33B8A" w:rsidRPr="0059550D" w:rsidRDefault="00D33B8A" w:rsidP="00DC6C47">
            <w:pPr>
              <w:pStyle w:val="ListParagraph"/>
              <w:numPr>
                <w:ilvl w:val="0"/>
                <w:numId w:val="10"/>
              </w:numPr>
              <w:spacing w:line="276" w:lineRule="auto"/>
              <w:contextualSpacing w:val="0"/>
              <w:rPr>
                <w:i/>
                <w:szCs w:val="24"/>
                <w:lang w:val="en-IE"/>
              </w:rPr>
            </w:pPr>
            <w:r w:rsidRPr="0059550D">
              <w:rPr>
                <w:i/>
                <w:szCs w:val="24"/>
                <w:lang w:val="en-IE"/>
              </w:rPr>
              <w:t>TED eSender</w:t>
            </w:r>
          </w:p>
          <w:p w14:paraId="0DBD0A2C" w14:textId="77777777" w:rsidR="00D33B8A" w:rsidRPr="0059550D" w:rsidRDefault="00D33B8A" w:rsidP="00DC6C47">
            <w:pPr>
              <w:pStyle w:val="ListParagraph"/>
              <w:numPr>
                <w:ilvl w:val="0"/>
                <w:numId w:val="10"/>
              </w:numPr>
              <w:spacing w:line="276" w:lineRule="auto"/>
              <w:contextualSpacing w:val="0"/>
              <w:rPr>
                <w:i/>
                <w:szCs w:val="24"/>
                <w:lang w:val="en-IE"/>
              </w:rPr>
            </w:pPr>
            <w:r w:rsidRPr="0059550D">
              <w:rPr>
                <w:i/>
                <w:szCs w:val="24"/>
                <w:lang w:val="en-IE"/>
              </w:rPr>
              <w:t>Organisation providing information concerning the general regulatory framework for taxes applicable in the place where the contract is to be performed.</w:t>
            </w:r>
          </w:p>
          <w:p w14:paraId="283BFB2C" w14:textId="77777777" w:rsidR="00D33B8A" w:rsidRPr="0059550D" w:rsidRDefault="00D33B8A" w:rsidP="00DC6C47">
            <w:pPr>
              <w:pStyle w:val="ListParagraph"/>
              <w:numPr>
                <w:ilvl w:val="0"/>
                <w:numId w:val="10"/>
              </w:numPr>
              <w:spacing w:line="276" w:lineRule="auto"/>
              <w:contextualSpacing w:val="0"/>
              <w:rPr>
                <w:i/>
                <w:szCs w:val="24"/>
                <w:lang w:val="en-IE"/>
              </w:rPr>
            </w:pPr>
            <w:r w:rsidRPr="0059550D">
              <w:rPr>
                <w:i/>
                <w:szCs w:val="24"/>
                <w:lang w:val="en-IE"/>
              </w:rPr>
              <w:lastRenderedPageBreak/>
              <w:t>Organisation providing information concerning the general regulatory framework for environmental protection applicable in the place where the contract is to be performed.</w:t>
            </w:r>
          </w:p>
          <w:p w14:paraId="201FA1E0" w14:textId="77777777" w:rsidR="00D33B8A" w:rsidRPr="0059550D" w:rsidRDefault="00D33B8A" w:rsidP="00DC6C47">
            <w:pPr>
              <w:pStyle w:val="ListParagraph"/>
              <w:numPr>
                <w:ilvl w:val="0"/>
                <w:numId w:val="10"/>
              </w:numPr>
              <w:spacing w:line="276" w:lineRule="auto"/>
              <w:contextualSpacing w:val="0"/>
              <w:rPr>
                <w:i/>
                <w:szCs w:val="24"/>
                <w:lang w:val="en-IE"/>
              </w:rPr>
            </w:pPr>
            <w:r w:rsidRPr="0059550D">
              <w:rPr>
                <w:i/>
                <w:szCs w:val="24"/>
                <w:lang w:val="en-IE"/>
              </w:rPr>
              <w:t>Organisation providing information concerning the general regulatory framework for employment protection and working conditions applicable in the place where the contract is to be performed.</w:t>
            </w:r>
          </w:p>
          <w:p w14:paraId="7891CE83" w14:textId="77777777" w:rsidR="00D33B8A" w:rsidRPr="0059550D" w:rsidRDefault="00D33B8A" w:rsidP="00DC6C47">
            <w:pPr>
              <w:pStyle w:val="ListParagraph"/>
              <w:numPr>
                <w:ilvl w:val="0"/>
                <w:numId w:val="10"/>
              </w:numPr>
              <w:spacing w:line="276" w:lineRule="auto"/>
              <w:contextualSpacing w:val="0"/>
              <w:rPr>
                <w:i/>
                <w:szCs w:val="24"/>
                <w:lang w:val="en-IE"/>
              </w:rPr>
            </w:pPr>
            <w:r w:rsidRPr="0059550D">
              <w:rPr>
                <w:i/>
                <w:szCs w:val="24"/>
                <w:lang w:val="en-IE"/>
              </w:rPr>
              <w:t>Tenderer</w:t>
            </w:r>
          </w:p>
          <w:p w14:paraId="0CAC6404" w14:textId="77777777" w:rsidR="00D33B8A" w:rsidRPr="0059550D" w:rsidRDefault="00D33B8A" w:rsidP="00DC6C47">
            <w:pPr>
              <w:pStyle w:val="ListParagraph"/>
              <w:numPr>
                <w:ilvl w:val="0"/>
                <w:numId w:val="10"/>
              </w:numPr>
              <w:spacing w:line="276" w:lineRule="auto"/>
              <w:contextualSpacing w:val="0"/>
              <w:rPr>
                <w:i/>
                <w:szCs w:val="24"/>
                <w:lang w:val="en-IE"/>
              </w:rPr>
            </w:pPr>
            <w:r w:rsidRPr="0059550D">
              <w:rPr>
                <w:i/>
                <w:szCs w:val="24"/>
                <w:lang w:val="en-IE"/>
              </w:rPr>
              <w:t>Organisation requesting review that is not a tenderer, but has an interest in a contract.</w:t>
            </w:r>
          </w:p>
          <w:p w14:paraId="4C859AA2" w14:textId="77777777" w:rsidR="00D33B8A" w:rsidRPr="0059550D" w:rsidRDefault="00D33B8A" w:rsidP="00DC6C47">
            <w:pPr>
              <w:pStyle w:val="ListParagraph"/>
              <w:numPr>
                <w:ilvl w:val="0"/>
                <w:numId w:val="10"/>
              </w:numPr>
              <w:spacing w:line="276" w:lineRule="auto"/>
              <w:contextualSpacing w:val="0"/>
              <w:rPr>
                <w:i/>
                <w:szCs w:val="24"/>
                <w:lang w:val="en-IE"/>
              </w:rPr>
            </w:pPr>
            <w:r w:rsidRPr="0059550D">
              <w:rPr>
                <w:i/>
                <w:szCs w:val="24"/>
                <w:lang w:val="en-IE"/>
              </w:rPr>
              <w:t>Organisation requesting review that does not have an interest in a contract, but could be harmed by an infringement.</w:t>
            </w:r>
          </w:p>
          <w:p w14:paraId="3DB1F0C7" w14:textId="3C8A26FF" w:rsidR="00B64446" w:rsidRPr="0059550D" w:rsidRDefault="00D33B8A" w:rsidP="00DC6C47">
            <w:pPr>
              <w:pStyle w:val="ListParagraph"/>
              <w:numPr>
                <w:ilvl w:val="0"/>
                <w:numId w:val="10"/>
              </w:numPr>
              <w:spacing w:line="276" w:lineRule="auto"/>
              <w:contextualSpacing w:val="0"/>
              <w:rPr>
                <w:i/>
                <w:lang w:val="en-IE"/>
              </w:rPr>
            </w:pPr>
            <w:r w:rsidRPr="0059550D">
              <w:rPr>
                <w:i/>
                <w:szCs w:val="24"/>
                <w:lang w:val="en-IE"/>
              </w:rPr>
              <w:t>Beneficial owner</w:t>
            </w:r>
          </w:p>
        </w:tc>
        <w:tc>
          <w:tcPr>
            <w:tcW w:w="1818" w:type="pct"/>
          </w:tcPr>
          <w:p w14:paraId="40B96291" w14:textId="28C199D4" w:rsidR="003E56B2" w:rsidRPr="0059550D" w:rsidRDefault="003E56B2" w:rsidP="00782E67">
            <w:pPr>
              <w:rPr>
                <w:rFonts w:cstheme="minorHAnsi"/>
                <w:lang w:val="en-IE"/>
              </w:rPr>
            </w:pPr>
            <w:r w:rsidRPr="0059550D">
              <w:rPr>
                <w:rFonts w:cstheme="minorHAnsi"/>
                <w:lang w:val="en-IE"/>
              </w:rPr>
              <w:lastRenderedPageBreak/>
              <w:t>The codes that must be always used, if they exist in a given procedure</w:t>
            </w:r>
            <w:r w:rsidR="00F03B98" w:rsidRPr="0059550D">
              <w:rPr>
                <w:rFonts w:cstheme="minorHAnsi"/>
                <w:lang w:val="en-IE"/>
              </w:rPr>
              <w:t>,</w:t>
            </w:r>
            <w:r w:rsidRPr="0059550D">
              <w:rPr>
                <w:rFonts w:cstheme="minorHAnsi"/>
                <w:lang w:val="en-IE"/>
              </w:rPr>
              <w:t xml:space="preserve"> are “buyer”; “winner”; ”review body”; ”buyer acquiring supplies and/or services intended for other buyers”</w:t>
            </w:r>
            <w:r w:rsidR="00550F17" w:rsidRPr="0059550D">
              <w:rPr>
                <w:rFonts w:cstheme="minorHAnsi"/>
                <w:lang w:val="en-IE"/>
              </w:rPr>
              <w:t>,</w:t>
            </w:r>
            <w:r w:rsidR="0077216B" w:rsidRPr="0059550D">
              <w:rPr>
                <w:rFonts w:cstheme="minorHAnsi"/>
                <w:lang w:val="en-IE"/>
              </w:rPr>
              <w:t xml:space="preserve"> </w:t>
            </w:r>
            <w:r w:rsidRPr="0059550D">
              <w:rPr>
                <w:rFonts w:cstheme="minorHAnsi"/>
                <w:lang w:val="en-IE"/>
              </w:rPr>
              <w:t>”buyer awarding public contracts or concluding framework agreements for works, supplies or services intended for other buyers”</w:t>
            </w:r>
            <w:r w:rsidR="0077216B" w:rsidRPr="0059550D">
              <w:rPr>
                <w:rFonts w:cstheme="minorHAnsi"/>
                <w:lang w:val="en-IE"/>
              </w:rPr>
              <w:t xml:space="preserve"> and “TED eSender”</w:t>
            </w:r>
            <w:r w:rsidRPr="0059550D">
              <w:rPr>
                <w:rFonts w:cstheme="minorHAnsi"/>
                <w:lang w:val="en-IE"/>
              </w:rPr>
              <w:t>.</w:t>
            </w:r>
            <w:r w:rsidR="00550F17" w:rsidRPr="0059550D">
              <w:rPr>
                <w:rFonts w:cstheme="minorHAnsi"/>
                <w:lang w:val="en-IE"/>
              </w:rPr>
              <w:t xml:space="preserve"> Additionally, the codelist contains codes used to designate various other roles. These may be used optionally, mandatorily or not at all – depending on </w:t>
            </w:r>
            <w:r w:rsidR="00A96776" w:rsidRPr="0059550D">
              <w:rPr>
                <w:rFonts w:cstheme="minorHAnsi"/>
                <w:lang w:val="en-IE"/>
              </w:rPr>
              <w:t xml:space="preserve">the </w:t>
            </w:r>
            <w:r w:rsidR="00550F17" w:rsidRPr="0059550D">
              <w:rPr>
                <w:rFonts w:cstheme="minorHAnsi"/>
                <w:lang w:val="en-IE"/>
              </w:rPr>
              <w:t xml:space="preserve">implementation. </w:t>
            </w:r>
          </w:p>
          <w:p w14:paraId="3D1D604B" w14:textId="77777777" w:rsidR="003E56B2" w:rsidRPr="0059550D" w:rsidRDefault="003E56B2" w:rsidP="00782E67">
            <w:pPr>
              <w:rPr>
                <w:rFonts w:cstheme="minorHAnsi"/>
                <w:lang w:val="en-IE"/>
              </w:rPr>
            </w:pPr>
          </w:p>
          <w:p w14:paraId="573FC6AC" w14:textId="0FA195DD" w:rsidR="00B50C1D" w:rsidRPr="0059550D" w:rsidRDefault="00550F17" w:rsidP="00B50C1D">
            <w:pPr>
              <w:rPr>
                <w:rFonts w:cstheme="minorHAnsi"/>
                <w:lang w:val="en-IE"/>
              </w:rPr>
            </w:pPr>
            <w:r w:rsidRPr="0059550D">
              <w:rPr>
                <w:rFonts w:cstheme="minorHAnsi"/>
                <w:lang w:val="en-IE"/>
              </w:rPr>
              <w:t xml:space="preserve">The “procurement service provider” designates organisations that </w:t>
            </w:r>
            <w:r w:rsidR="00B64446" w:rsidRPr="0059550D">
              <w:rPr>
                <w:rFonts w:cstheme="minorHAnsi"/>
                <w:lang w:val="en-IE"/>
              </w:rPr>
              <w:t xml:space="preserve">help buyers procure. Besides central purchasing bodies, </w:t>
            </w:r>
            <w:r w:rsidR="00B50C1D" w:rsidRPr="0059550D">
              <w:rPr>
                <w:rFonts w:cstheme="minorHAnsi"/>
                <w:lang w:val="en-IE"/>
              </w:rPr>
              <w:t xml:space="preserve">these </w:t>
            </w:r>
            <w:r w:rsidR="00B64446" w:rsidRPr="0059550D">
              <w:rPr>
                <w:rFonts w:cstheme="minorHAnsi"/>
                <w:lang w:val="en-IE"/>
              </w:rPr>
              <w:t xml:space="preserve">are often consulting companies specialized in procurement, law, EU funds or a particular sector (construction, IT, etc.) </w:t>
            </w:r>
            <w:r w:rsidR="007F3A60">
              <w:rPr>
                <w:rFonts w:cstheme="minorHAnsi"/>
                <w:lang w:val="en-IE"/>
              </w:rPr>
              <w:t>T</w:t>
            </w:r>
            <w:r w:rsidR="00B50C1D" w:rsidRPr="0059550D">
              <w:rPr>
                <w:rFonts w:cstheme="minorHAnsi"/>
                <w:lang w:val="en-IE"/>
              </w:rPr>
              <w:t xml:space="preserve">his </w:t>
            </w:r>
            <w:r w:rsidR="00B50C1D" w:rsidRPr="0059550D">
              <w:rPr>
                <w:rFonts w:eastAsia="Times New Roman" w:cstheme="minorHAnsi"/>
                <w:lang w:val="en-IE"/>
              </w:rPr>
              <w:t xml:space="preserve">field </w:t>
            </w:r>
            <w:r w:rsidR="007F3A60">
              <w:rPr>
                <w:rFonts w:cstheme="minorHAnsi"/>
                <w:lang w:val="en-IE"/>
              </w:rPr>
              <w:t>provides</w:t>
            </w:r>
            <w:r w:rsidR="00B64446" w:rsidRPr="0059550D">
              <w:rPr>
                <w:rFonts w:cstheme="minorHAnsi"/>
                <w:lang w:val="en-IE"/>
              </w:rPr>
              <w:t xml:space="preserve"> information on the extent to what procurement is done and influenced by other </w:t>
            </w:r>
            <w:r w:rsidR="00B64446" w:rsidRPr="0059550D">
              <w:rPr>
                <w:rFonts w:cstheme="minorHAnsi"/>
                <w:lang w:val="en-IE"/>
              </w:rPr>
              <w:lastRenderedPageBreak/>
              <w:t xml:space="preserve">organisations than the buyer. </w:t>
            </w:r>
          </w:p>
          <w:p w14:paraId="47D18B70" w14:textId="77777777" w:rsidR="00B50C1D" w:rsidRPr="0059550D" w:rsidRDefault="00B50C1D" w:rsidP="00B50C1D">
            <w:pPr>
              <w:rPr>
                <w:rFonts w:cstheme="minorHAnsi"/>
                <w:lang w:val="en-IE"/>
              </w:rPr>
            </w:pPr>
          </w:p>
          <w:p w14:paraId="2B08F82B" w14:textId="0F262623" w:rsidR="00B64446" w:rsidRPr="0059550D" w:rsidRDefault="00B64446" w:rsidP="00B50C1D">
            <w:pPr>
              <w:rPr>
                <w:rFonts w:cstheme="minorHAnsi"/>
                <w:lang w:val="en-IE"/>
              </w:rPr>
            </w:pPr>
            <w:r w:rsidRPr="0059550D">
              <w:rPr>
                <w:rFonts w:cstheme="minorHAnsi"/>
                <w:lang w:val="en-IE"/>
              </w:rPr>
              <w:t xml:space="preserve">For example, in some countries, practitioners estimate that up to 50% of procurement procedures are actually done/influenced by private consultancies and law firms. </w:t>
            </w:r>
            <w:r w:rsidR="00950286">
              <w:rPr>
                <w:rFonts w:cstheme="minorHAnsi"/>
                <w:lang w:val="en-IE"/>
              </w:rPr>
              <w:t>T</w:t>
            </w:r>
            <w:r w:rsidRPr="0059550D">
              <w:rPr>
                <w:rFonts w:cstheme="minorHAnsi"/>
                <w:lang w:val="en-IE"/>
              </w:rPr>
              <w:t>here is no data to confirm such claims - even though this could have significant implications for policy makers</w:t>
            </w:r>
            <w:r w:rsidR="00B50C1D" w:rsidRPr="0059550D">
              <w:rPr>
                <w:rFonts w:cstheme="minorHAnsi"/>
                <w:lang w:val="en-IE"/>
              </w:rPr>
              <w:t>, such as:</w:t>
            </w:r>
          </w:p>
          <w:p w14:paraId="12254A96" w14:textId="6D222093" w:rsidR="00B64446" w:rsidRPr="0059550D" w:rsidRDefault="00B64446" w:rsidP="00DC6C47">
            <w:pPr>
              <w:numPr>
                <w:ilvl w:val="0"/>
                <w:numId w:val="8"/>
              </w:numPr>
              <w:shd w:val="clear" w:color="auto" w:fill="FFFFFF"/>
              <w:spacing w:before="100" w:beforeAutospacing="1" w:after="100" w:afterAutospacing="1"/>
              <w:rPr>
                <w:szCs w:val="24"/>
                <w:lang w:val="en-IE"/>
              </w:rPr>
            </w:pPr>
            <w:r w:rsidRPr="0059550D">
              <w:rPr>
                <w:szCs w:val="24"/>
                <w:lang w:val="en-IE"/>
              </w:rPr>
              <w:t xml:space="preserve">From a professionalisation point of view, if external organisations often play a role, then training individual buyers may be less important. On the other hand, perhaps there should be certifications, reviews, or ratings for </w:t>
            </w:r>
            <w:r w:rsidR="004A42A7" w:rsidRPr="0059550D">
              <w:rPr>
                <w:szCs w:val="24"/>
                <w:lang w:val="en-IE"/>
              </w:rPr>
              <w:t>procurement service providers</w:t>
            </w:r>
            <w:r w:rsidRPr="0059550D">
              <w:rPr>
                <w:szCs w:val="24"/>
                <w:lang w:val="en-IE"/>
              </w:rPr>
              <w:t xml:space="preserve">. </w:t>
            </w:r>
          </w:p>
          <w:p w14:paraId="51F2F2E0" w14:textId="77777777" w:rsidR="00D0022C" w:rsidRPr="0059550D" w:rsidRDefault="00B64446" w:rsidP="00DC6C47">
            <w:pPr>
              <w:numPr>
                <w:ilvl w:val="0"/>
                <w:numId w:val="8"/>
              </w:numPr>
              <w:shd w:val="clear" w:color="auto" w:fill="FFFFFF"/>
              <w:spacing w:before="60" w:after="100" w:afterAutospacing="1"/>
              <w:rPr>
                <w:szCs w:val="24"/>
                <w:lang w:val="en-IE"/>
              </w:rPr>
            </w:pPr>
            <w:r w:rsidRPr="0059550D">
              <w:rPr>
                <w:szCs w:val="24"/>
                <w:lang w:val="en-IE"/>
              </w:rPr>
              <w:t xml:space="preserve">If </w:t>
            </w:r>
            <w:r w:rsidR="004A42A7" w:rsidRPr="0059550D">
              <w:rPr>
                <w:szCs w:val="24"/>
                <w:lang w:val="en-IE"/>
              </w:rPr>
              <w:t>procurement service providers</w:t>
            </w:r>
            <w:r w:rsidRPr="0059550D">
              <w:rPr>
                <w:szCs w:val="24"/>
                <w:lang w:val="en-IE"/>
              </w:rPr>
              <w:t xml:space="preserve"> seldom play a role, perhaps there is space for improving professionalisation through better support from (private or public) procurement expert centres.</w:t>
            </w:r>
          </w:p>
          <w:p w14:paraId="75D1F509" w14:textId="77777777" w:rsidR="00B64446" w:rsidRPr="0059550D" w:rsidRDefault="00B64446" w:rsidP="00DC6C47">
            <w:pPr>
              <w:numPr>
                <w:ilvl w:val="0"/>
                <w:numId w:val="8"/>
              </w:numPr>
              <w:shd w:val="clear" w:color="auto" w:fill="FFFFFF"/>
              <w:spacing w:before="60" w:after="100" w:afterAutospacing="1"/>
              <w:rPr>
                <w:szCs w:val="24"/>
                <w:lang w:val="en-IE"/>
              </w:rPr>
            </w:pPr>
            <w:r w:rsidRPr="0059550D">
              <w:rPr>
                <w:szCs w:val="24"/>
                <w:lang w:val="en-IE"/>
              </w:rPr>
              <w:t xml:space="preserve">Where external organisations play a role, it </w:t>
            </w:r>
            <w:r w:rsidR="00D0022C" w:rsidRPr="0059550D">
              <w:rPr>
                <w:szCs w:val="24"/>
                <w:lang w:val="en-IE"/>
              </w:rPr>
              <w:t xml:space="preserve">may </w:t>
            </w:r>
            <w:r w:rsidRPr="0059550D">
              <w:rPr>
                <w:szCs w:val="24"/>
                <w:lang w:val="en-IE"/>
              </w:rPr>
              <w:t>also be worth paying more attention to the prevention of conflict of interest.</w:t>
            </w:r>
          </w:p>
          <w:p w14:paraId="4E88968B" w14:textId="0E48F1E6" w:rsidR="004216C0" w:rsidRPr="0059550D" w:rsidRDefault="004216C0" w:rsidP="003A5297">
            <w:pPr>
              <w:shd w:val="clear" w:color="auto" w:fill="FFFFFF"/>
              <w:spacing w:before="60" w:after="100" w:afterAutospacing="1"/>
              <w:rPr>
                <w:szCs w:val="24"/>
                <w:lang w:val="en-IE"/>
              </w:rPr>
            </w:pPr>
            <w:r w:rsidRPr="0059550D">
              <w:rPr>
                <w:szCs w:val="24"/>
                <w:lang w:val="en-IE"/>
              </w:rPr>
              <w:t>“Subcontractor”</w:t>
            </w:r>
            <w:r w:rsidR="00456964" w:rsidRPr="0059550D">
              <w:rPr>
                <w:szCs w:val="24"/>
                <w:lang w:val="en-IE"/>
              </w:rPr>
              <w:t xml:space="preserve"> increases transparency and information about the market and can be used, for example, when looking for collusion. </w:t>
            </w:r>
            <w:r w:rsidR="003A5297" w:rsidRPr="0059550D">
              <w:rPr>
                <w:szCs w:val="24"/>
                <w:lang w:val="en-IE"/>
              </w:rPr>
              <w:t xml:space="preserve">This code is particularly useful in procedures where subcontractors are known when awarding the contract (e.g. because it is mandatory to include such information in the tender). Furthermore, the code is used in the contract </w:t>
            </w:r>
            <w:r w:rsidR="003A5297" w:rsidRPr="0059550D">
              <w:rPr>
                <w:szCs w:val="24"/>
                <w:lang w:val="en-IE"/>
              </w:rPr>
              <w:lastRenderedPageBreak/>
              <w:t xml:space="preserve">completion </w:t>
            </w:r>
            <w:r w:rsidR="00842157" w:rsidRPr="0059550D">
              <w:rPr>
                <w:szCs w:val="24"/>
                <w:lang w:val="en-IE"/>
              </w:rPr>
              <w:t xml:space="preserve">notice, </w:t>
            </w:r>
            <w:r w:rsidR="003A5297" w:rsidRPr="0059550D">
              <w:rPr>
                <w:szCs w:val="24"/>
                <w:lang w:val="en-IE"/>
              </w:rPr>
              <w:t xml:space="preserve">see </w:t>
            </w:r>
            <w:r w:rsidR="00D154BE">
              <w:rPr>
                <w:szCs w:val="24"/>
                <w:lang w:val="en-IE"/>
              </w:rPr>
              <w:t>section</w:t>
            </w:r>
            <w:r w:rsidR="00F00A6D">
              <w:rPr>
                <w:szCs w:val="24"/>
                <w:lang w:val="en-IE"/>
              </w:rPr>
              <w:t xml:space="preserve"> 3.4.3.</w:t>
            </w:r>
            <w:r w:rsidR="00D154BE" w:rsidRPr="0059550D">
              <w:rPr>
                <w:szCs w:val="24"/>
                <w:lang w:val="en-IE"/>
              </w:rPr>
              <w:t xml:space="preserve"> </w:t>
            </w:r>
            <w:r w:rsidR="003A5297" w:rsidRPr="0059550D">
              <w:rPr>
                <w:szCs w:val="24"/>
                <w:lang w:val="en-IE"/>
              </w:rPr>
              <w:t xml:space="preserve"> </w:t>
            </w:r>
          </w:p>
          <w:p w14:paraId="6F47F105" w14:textId="1F74BB2E" w:rsidR="004216C0" w:rsidRPr="0059550D" w:rsidRDefault="004216C0" w:rsidP="004216C0">
            <w:pPr>
              <w:shd w:val="clear" w:color="auto" w:fill="FFFFFF"/>
              <w:spacing w:before="60" w:after="100" w:afterAutospacing="1"/>
              <w:rPr>
                <w:szCs w:val="24"/>
                <w:lang w:val="en-IE"/>
              </w:rPr>
            </w:pPr>
            <w:r w:rsidRPr="0059550D">
              <w:rPr>
                <w:szCs w:val="24"/>
                <w:lang w:val="en-IE"/>
              </w:rPr>
              <w:t xml:space="preserve">“Tenderer” </w:t>
            </w:r>
            <w:r w:rsidR="00DE499D" w:rsidRPr="0059550D">
              <w:rPr>
                <w:szCs w:val="24"/>
                <w:lang w:val="en-IE"/>
              </w:rPr>
              <w:t xml:space="preserve">is used when </w:t>
            </w:r>
            <w:r w:rsidR="0084058F" w:rsidRPr="0059550D">
              <w:rPr>
                <w:szCs w:val="24"/>
                <w:lang w:val="en-IE"/>
              </w:rPr>
              <w:t xml:space="preserve">informing </w:t>
            </w:r>
            <w:r w:rsidR="00DE499D" w:rsidRPr="0059550D">
              <w:rPr>
                <w:szCs w:val="24"/>
                <w:lang w:val="en-IE"/>
              </w:rPr>
              <w:t xml:space="preserve">about more tenderers than just the winning tenderer, see </w:t>
            </w:r>
            <w:r w:rsidR="007E3794" w:rsidRPr="0059550D">
              <w:rPr>
                <w:szCs w:val="24"/>
                <w:lang w:val="en-IE"/>
              </w:rPr>
              <w:t xml:space="preserve">the </w:t>
            </w:r>
            <w:r w:rsidR="00D154BE">
              <w:rPr>
                <w:szCs w:val="24"/>
                <w:lang w:val="en-IE"/>
              </w:rPr>
              <w:t>section</w:t>
            </w:r>
            <w:r w:rsidR="007E3794" w:rsidRPr="0059550D">
              <w:rPr>
                <w:szCs w:val="24"/>
                <w:lang w:val="en-IE"/>
              </w:rPr>
              <w:t xml:space="preserve"> </w:t>
            </w:r>
            <w:r w:rsidR="00DE499D" w:rsidRPr="0059550D">
              <w:rPr>
                <w:szCs w:val="24"/>
                <w:lang w:val="en-IE"/>
              </w:rPr>
              <w:fldChar w:fldCharType="begin"/>
            </w:r>
            <w:r w:rsidR="00DE499D" w:rsidRPr="0059550D">
              <w:rPr>
                <w:szCs w:val="24"/>
                <w:lang w:val="en-IE"/>
              </w:rPr>
              <w:instrText xml:space="preserve"> REF _Ref19625269 \r \h </w:instrText>
            </w:r>
            <w:r w:rsidR="00DE499D" w:rsidRPr="0059550D">
              <w:rPr>
                <w:szCs w:val="24"/>
                <w:lang w:val="en-IE"/>
              </w:rPr>
            </w:r>
            <w:r w:rsidR="00DE499D" w:rsidRPr="0059550D">
              <w:rPr>
                <w:szCs w:val="24"/>
                <w:lang w:val="en-IE"/>
              </w:rPr>
              <w:fldChar w:fldCharType="separate"/>
            </w:r>
            <w:r w:rsidR="00031242">
              <w:rPr>
                <w:szCs w:val="24"/>
                <w:lang w:val="en-IE"/>
              </w:rPr>
              <w:t>3.3.4</w:t>
            </w:r>
            <w:r w:rsidR="00DE499D" w:rsidRPr="0059550D">
              <w:rPr>
                <w:szCs w:val="24"/>
                <w:lang w:val="en-IE"/>
              </w:rPr>
              <w:fldChar w:fldCharType="end"/>
            </w:r>
            <w:r w:rsidR="00DE499D" w:rsidRPr="0059550D">
              <w:rPr>
                <w:szCs w:val="24"/>
                <w:lang w:val="en-IE"/>
              </w:rPr>
              <w:t>.</w:t>
            </w:r>
          </w:p>
          <w:p w14:paraId="6BF6118B" w14:textId="414F0784" w:rsidR="00020F63" w:rsidRPr="0059550D" w:rsidRDefault="00020F63" w:rsidP="004216C0">
            <w:pPr>
              <w:shd w:val="clear" w:color="auto" w:fill="FFFFFF"/>
              <w:spacing w:before="60" w:after="100" w:afterAutospacing="1"/>
              <w:rPr>
                <w:szCs w:val="24"/>
                <w:lang w:val="en-IE"/>
              </w:rPr>
            </w:pPr>
            <w:r w:rsidRPr="0059550D">
              <w:rPr>
                <w:szCs w:val="24"/>
                <w:lang w:val="en-IE"/>
              </w:rPr>
              <w:t xml:space="preserve">“Mediation organisation” </w:t>
            </w:r>
            <w:r w:rsidR="00950286">
              <w:rPr>
                <w:szCs w:val="24"/>
                <w:lang w:val="en-IE"/>
              </w:rPr>
              <w:t>does not need to be used</w:t>
            </w:r>
            <w:r w:rsidRPr="0059550D">
              <w:rPr>
                <w:szCs w:val="24"/>
                <w:lang w:val="en-IE"/>
              </w:rPr>
              <w:t xml:space="preserve"> in countries where mediation organisations are never used. </w:t>
            </w:r>
          </w:p>
          <w:p w14:paraId="4763561C" w14:textId="0425025D" w:rsidR="00020F63" w:rsidRPr="0059550D" w:rsidRDefault="00020F63" w:rsidP="00020F63">
            <w:pPr>
              <w:spacing w:line="276" w:lineRule="auto"/>
              <w:rPr>
                <w:szCs w:val="24"/>
                <w:lang w:val="en-IE"/>
              </w:rPr>
            </w:pPr>
            <w:r w:rsidRPr="0059550D">
              <w:rPr>
                <w:szCs w:val="24"/>
                <w:lang w:val="en-IE"/>
              </w:rPr>
              <w:t xml:space="preserve">“Organisation requesting review…” is used only in the contract completion notice. </w:t>
            </w:r>
          </w:p>
          <w:p w14:paraId="659497D6" w14:textId="77777777" w:rsidR="00020F63" w:rsidRPr="0059550D" w:rsidRDefault="00020F63" w:rsidP="00020F63">
            <w:pPr>
              <w:spacing w:line="276" w:lineRule="auto"/>
              <w:rPr>
                <w:szCs w:val="24"/>
                <w:lang w:val="en-IE"/>
              </w:rPr>
            </w:pPr>
          </w:p>
          <w:p w14:paraId="2F566ED3" w14:textId="41DC5290" w:rsidR="004216C0" w:rsidRPr="0059550D" w:rsidRDefault="004216C0" w:rsidP="00F00A6D">
            <w:pPr>
              <w:shd w:val="clear" w:color="auto" w:fill="FFFFFF"/>
              <w:spacing w:before="60" w:after="100" w:afterAutospacing="1"/>
              <w:rPr>
                <w:szCs w:val="24"/>
                <w:lang w:val="en-IE"/>
              </w:rPr>
            </w:pPr>
            <w:r w:rsidRPr="0059550D">
              <w:rPr>
                <w:szCs w:val="24"/>
                <w:lang w:val="en-IE"/>
              </w:rPr>
              <w:t>“Beneficial owner”</w:t>
            </w:r>
            <w:r w:rsidR="0084058F" w:rsidRPr="0059550D">
              <w:rPr>
                <w:szCs w:val="24"/>
                <w:lang w:val="en-IE"/>
              </w:rPr>
              <w:t xml:space="preserve"> is used when publishing the information about the beneficial owner, not only the statistical information discussed in</w:t>
            </w:r>
            <w:r w:rsidR="00F00A6D">
              <w:rPr>
                <w:szCs w:val="24"/>
                <w:lang w:val="en-IE"/>
              </w:rPr>
              <w:t xml:space="preserve"> Checklist 1</w:t>
            </w:r>
            <w:r w:rsidR="0084058F" w:rsidRPr="0059550D">
              <w:rPr>
                <w:szCs w:val="24"/>
                <w:lang w:val="en-IE"/>
              </w:rPr>
              <w:t>, BT-706 &amp; BT-746.</w:t>
            </w:r>
          </w:p>
        </w:tc>
      </w:tr>
      <w:tr w:rsidR="008B6DC8" w:rsidRPr="0059550D" w14:paraId="5AE5EECD" w14:textId="77777777" w:rsidTr="00651044">
        <w:tc>
          <w:tcPr>
            <w:tcW w:w="483" w:type="pct"/>
            <w:shd w:val="clear" w:color="auto" w:fill="8DB3E2" w:themeFill="text2" w:themeFillTint="66"/>
          </w:tcPr>
          <w:p w14:paraId="440F8273" w14:textId="687A6251" w:rsidR="008B6DC8" w:rsidRPr="0059550D" w:rsidRDefault="008B6DC8" w:rsidP="008B6DC8">
            <w:pPr>
              <w:pStyle w:val="NoSpacing"/>
              <w:rPr>
                <w:lang w:val="en-IE"/>
              </w:rPr>
            </w:pPr>
            <w:r w:rsidRPr="0059550D">
              <w:rPr>
                <w:lang w:val="en-IE"/>
              </w:rPr>
              <w:lastRenderedPageBreak/>
              <w:t>Organisation subrole</w:t>
            </w:r>
            <w:r w:rsidR="00475786" w:rsidRPr="0059550D">
              <w:rPr>
                <w:lang w:val="en-IE"/>
              </w:rPr>
              <w:t xml:space="preserve"> </w:t>
            </w:r>
            <w:r w:rsidR="003F5096" w:rsidRPr="0059550D">
              <w:rPr>
                <w:lang w:val="en-IE"/>
              </w:rPr>
              <w:br/>
            </w:r>
            <w:r w:rsidR="00475786" w:rsidRPr="0059550D">
              <w:rPr>
                <w:lang w:val="en-IE"/>
              </w:rPr>
              <w:t>(BT-770)</w:t>
            </w:r>
          </w:p>
          <w:p w14:paraId="7E013B27" w14:textId="77777777" w:rsidR="008B6DC8" w:rsidRPr="0059550D" w:rsidRDefault="008B6DC8" w:rsidP="00782E67">
            <w:pPr>
              <w:rPr>
                <w:i/>
                <w:szCs w:val="24"/>
                <w:lang w:val="en-IE"/>
              </w:rPr>
            </w:pPr>
          </w:p>
        </w:tc>
        <w:tc>
          <w:tcPr>
            <w:tcW w:w="2699" w:type="pct"/>
            <w:shd w:val="clear" w:color="auto" w:fill="8DB3E2" w:themeFill="text2" w:themeFillTint="66"/>
          </w:tcPr>
          <w:p w14:paraId="5F8A167D" w14:textId="792D05C0" w:rsidR="00FA2614" w:rsidRPr="0059550D" w:rsidRDefault="00FA2614" w:rsidP="00DC6C47">
            <w:pPr>
              <w:pStyle w:val="ListParagraph"/>
              <w:numPr>
                <w:ilvl w:val="0"/>
                <w:numId w:val="10"/>
              </w:numPr>
              <w:spacing w:line="276" w:lineRule="auto"/>
              <w:contextualSpacing w:val="0"/>
              <w:rPr>
                <w:i/>
                <w:szCs w:val="24"/>
                <w:lang w:val="en-IE"/>
              </w:rPr>
            </w:pPr>
            <w:r w:rsidRPr="0059550D">
              <w:rPr>
                <w:i/>
                <w:szCs w:val="24"/>
                <w:lang w:val="en-IE"/>
              </w:rPr>
              <w:t>Group leader</w:t>
            </w:r>
          </w:p>
          <w:p w14:paraId="4F8DABFA" w14:textId="2B018C60" w:rsidR="00FA2614" w:rsidRPr="0059550D" w:rsidRDefault="00FA2614" w:rsidP="00DC6C47">
            <w:pPr>
              <w:pStyle w:val="ListParagraph"/>
              <w:numPr>
                <w:ilvl w:val="0"/>
                <w:numId w:val="10"/>
              </w:numPr>
              <w:spacing w:line="276" w:lineRule="auto"/>
              <w:contextualSpacing w:val="0"/>
              <w:rPr>
                <w:i/>
                <w:szCs w:val="24"/>
                <w:lang w:val="en-IE"/>
              </w:rPr>
            </w:pPr>
            <w:r w:rsidRPr="0059550D">
              <w:rPr>
                <w:i/>
                <w:szCs w:val="24"/>
                <w:lang w:val="en-IE"/>
              </w:rPr>
              <w:t>Organisation providing additional information about the procurement procedure</w:t>
            </w:r>
          </w:p>
          <w:p w14:paraId="090B653F" w14:textId="3B2C0348" w:rsidR="00FA2614" w:rsidRPr="0059550D" w:rsidRDefault="00FA2614" w:rsidP="00DC6C47">
            <w:pPr>
              <w:pStyle w:val="ListParagraph"/>
              <w:numPr>
                <w:ilvl w:val="0"/>
                <w:numId w:val="10"/>
              </w:numPr>
              <w:spacing w:line="276" w:lineRule="auto"/>
              <w:contextualSpacing w:val="0"/>
              <w:rPr>
                <w:i/>
                <w:szCs w:val="24"/>
                <w:lang w:val="en-IE"/>
              </w:rPr>
            </w:pPr>
            <w:r w:rsidRPr="0059550D">
              <w:rPr>
                <w:i/>
                <w:szCs w:val="24"/>
                <w:lang w:val="en-IE"/>
              </w:rPr>
              <w:t>Organisation providing offline access to the procurement documents</w:t>
            </w:r>
          </w:p>
          <w:p w14:paraId="1537EA0C" w14:textId="31A170F5" w:rsidR="00FA2614" w:rsidRPr="0059550D" w:rsidRDefault="00FA2614" w:rsidP="00DC6C47">
            <w:pPr>
              <w:pStyle w:val="ListParagraph"/>
              <w:numPr>
                <w:ilvl w:val="0"/>
                <w:numId w:val="10"/>
              </w:numPr>
              <w:spacing w:line="276" w:lineRule="auto"/>
              <w:contextualSpacing w:val="0"/>
              <w:rPr>
                <w:i/>
                <w:szCs w:val="24"/>
                <w:lang w:val="en-IE"/>
              </w:rPr>
            </w:pPr>
            <w:r w:rsidRPr="0059550D">
              <w:rPr>
                <w:i/>
                <w:szCs w:val="24"/>
                <w:lang w:val="en-IE"/>
              </w:rPr>
              <w:t>Organisation providing more information on the time limits for review procedures</w:t>
            </w:r>
          </w:p>
          <w:p w14:paraId="1D1A7EC4" w14:textId="5DACBB0B" w:rsidR="00FA2614" w:rsidRPr="0059550D" w:rsidRDefault="00FA2614" w:rsidP="00DC6C47">
            <w:pPr>
              <w:pStyle w:val="ListParagraph"/>
              <w:numPr>
                <w:ilvl w:val="0"/>
                <w:numId w:val="10"/>
              </w:numPr>
              <w:spacing w:line="276" w:lineRule="auto"/>
              <w:contextualSpacing w:val="0"/>
              <w:rPr>
                <w:i/>
                <w:szCs w:val="24"/>
                <w:lang w:val="en-IE"/>
              </w:rPr>
            </w:pPr>
            <w:r w:rsidRPr="0059550D">
              <w:rPr>
                <w:i/>
                <w:szCs w:val="24"/>
                <w:lang w:val="en-IE"/>
              </w:rPr>
              <w:t>Organisation receiving requests to participate</w:t>
            </w:r>
          </w:p>
          <w:p w14:paraId="1C7DE5B8" w14:textId="645D5846" w:rsidR="00FA2614" w:rsidRPr="0059550D" w:rsidRDefault="00FA2614" w:rsidP="00DC6C47">
            <w:pPr>
              <w:pStyle w:val="ListParagraph"/>
              <w:numPr>
                <w:ilvl w:val="0"/>
                <w:numId w:val="10"/>
              </w:numPr>
              <w:spacing w:line="276" w:lineRule="auto"/>
              <w:contextualSpacing w:val="0"/>
              <w:rPr>
                <w:i/>
                <w:szCs w:val="24"/>
                <w:lang w:val="en-IE"/>
              </w:rPr>
            </w:pPr>
            <w:r w:rsidRPr="0059550D">
              <w:rPr>
                <w:i/>
                <w:szCs w:val="24"/>
                <w:lang w:val="en-IE"/>
              </w:rPr>
              <w:t>Organisation processing requests to participate</w:t>
            </w:r>
          </w:p>
          <w:p w14:paraId="24E28662" w14:textId="257A8F65" w:rsidR="00FA2614" w:rsidRPr="0059550D" w:rsidRDefault="00FA2614" w:rsidP="00DC6C47">
            <w:pPr>
              <w:pStyle w:val="ListParagraph"/>
              <w:numPr>
                <w:ilvl w:val="0"/>
                <w:numId w:val="10"/>
              </w:numPr>
              <w:spacing w:line="276" w:lineRule="auto"/>
              <w:contextualSpacing w:val="0"/>
              <w:rPr>
                <w:i/>
                <w:szCs w:val="24"/>
                <w:lang w:val="en-IE"/>
              </w:rPr>
            </w:pPr>
            <w:r w:rsidRPr="0059550D">
              <w:rPr>
                <w:i/>
                <w:szCs w:val="24"/>
                <w:lang w:val="en-IE"/>
              </w:rPr>
              <w:t>Organisation receiving tenders</w:t>
            </w:r>
          </w:p>
          <w:p w14:paraId="214A1C78" w14:textId="22536A65" w:rsidR="00FA2614" w:rsidRPr="0059550D" w:rsidRDefault="00FA2614" w:rsidP="00DC6C47">
            <w:pPr>
              <w:pStyle w:val="ListParagraph"/>
              <w:numPr>
                <w:ilvl w:val="0"/>
                <w:numId w:val="10"/>
              </w:numPr>
              <w:spacing w:line="276" w:lineRule="auto"/>
              <w:contextualSpacing w:val="0"/>
              <w:rPr>
                <w:i/>
                <w:szCs w:val="24"/>
                <w:lang w:val="en-IE"/>
              </w:rPr>
            </w:pPr>
            <w:r w:rsidRPr="0059550D">
              <w:rPr>
                <w:i/>
                <w:szCs w:val="24"/>
                <w:lang w:val="en-IE"/>
              </w:rPr>
              <w:t>Organisation processing tenders</w:t>
            </w:r>
          </w:p>
          <w:p w14:paraId="3332EA48" w14:textId="720F6358" w:rsidR="00FA2614" w:rsidRPr="0059550D" w:rsidRDefault="00FA2614" w:rsidP="00DC6C47">
            <w:pPr>
              <w:pStyle w:val="ListParagraph"/>
              <w:numPr>
                <w:ilvl w:val="0"/>
                <w:numId w:val="10"/>
              </w:numPr>
              <w:spacing w:line="276" w:lineRule="auto"/>
              <w:contextualSpacing w:val="0"/>
              <w:rPr>
                <w:i/>
                <w:szCs w:val="24"/>
                <w:lang w:val="en-IE"/>
              </w:rPr>
            </w:pPr>
            <w:r w:rsidRPr="0059550D">
              <w:rPr>
                <w:i/>
                <w:szCs w:val="24"/>
                <w:lang w:val="en-IE"/>
              </w:rPr>
              <w:t>Organisation signing the contract</w:t>
            </w:r>
          </w:p>
          <w:p w14:paraId="435298F5" w14:textId="242F50B6" w:rsidR="00FA2614" w:rsidRPr="0059550D" w:rsidRDefault="00FA2614" w:rsidP="00DC6C47">
            <w:pPr>
              <w:pStyle w:val="ListParagraph"/>
              <w:numPr>
                <w:ilvl w:val="0"/>
                <w:numId w:val="10"/>
              </w:numPr>
              <w:spacing w:line="276" w:lineRule="auto"/>
              <w:contextualSpacing w:val="0"/>
              <w:rPr>
                <w:i/>
                <w:szCs w:val="24"/>
                <w:lang w:val="en-IE"/>
              </w:rPr>
            </w:pPr>
            <w:r w:rsidRPr="0059550D">
              <w:rPr>
                <w:i/>
                <w:szCs w:val="24"/>
                <w:lang w:val="en-IE"/>
              </w:rPr>
              <w:t>Organisation whose budget is used to pay for the contract</w:t>
            </w:r>
          </w:p>
          <w:p w14:paraId="104731B8" w14:textId="0AD68808" w:rsidR="008B6DC8" w:rsidRPr="0059550D" w:rsidRDefault="00FA2614" w:rsidP="00DC6C47">
            <w:pPr>
              <w:pStyle w:val="ListParagraph"/>
              <w:numPr>
                <w:ilvl w:val="0"/>
                <w:numId w:val="10"/>
              </w:numPr>
              <w:spacing w:line="276" w:lineRule="auto"/>
              <w:contextualSpacing w:val="0"/>
              <w:rPr>
                <w:i/>
                <w:szCs w:val="24"/>
                <w:lang w:val="en-IE"/>
              </w:rPr>
            </w:pPr>
            <w:r w:rsidRPr="0059550D">
              <w:rPr>
                <w:i/>
                <w:szCs w:val="24"/>
                <w:lang w:val="en-IE"/>
              </w:rPr>
              <w:lastRenderedPageBreak/>
              <w:t>Organisation executing the payment</w:t>
            </w:r>
          </w:p>
        </w:tc>
        <w:tc>
          <w:tcPr>
            <w:tcW w:w="1818" w:type="pct"/>
          </w:tcPr>
          <w:p w14:paraId="6A0C063F" w14:textId="31C72E7C" w:rsidR="008B6DC8" w:rsidRPr="0059550D" w:rsidRDefault="001360DC" w:rsidP="003D0CDD">
            <w:pPr>
              <w:rPr>
                <w:szCs w:val="24"/>
                <w:lang w:val="en-IE"/>
              </w:rPr>
            </w:pPr>
            <w:r w:rsidRPr="0059550D">
              <w:rPr>
                <w:szCs w:val="24"/>
                <w:lang w:val="en-IE"/>
              </w:rPr>
              <w:lastRenderedPageBreak/>
              <w:t xml:space="preserve">“Group leader” and “Organisation providing additional information” </w:t>
            </w:r>
            <w:r w:rsidR="003D0CDD" w:rsidRPr="0059550D">
              <w:rPr>
                <w:szCs w:val="24"/>
                <w:lang w:val="en-IE"/>
              </w:rPr>
              <w:t>are basic and useful information (see</w:t>
            </w:r>
            <w:r w:rsidR="00511A3D" w:rsidRPr="0059550D">
              <w:rPr>
                <w:szCs w:val="24"/>
                <w:lang w:val="en-IE"/>
              </w:rPr>
              <w:t xml:space="preserve"> BT-770</w:t>
            </w:r>
            <w:r w:rsidR="003D0CDD" w:rsidRPr="0059550D">
              <w:rPr>
                <w:szCs w:val="24"/>
                <w:lang w:val="en-IE"/>
              </w:rPr>
              <w:t xml:space="preserve"> discussion in</w:t>
            </w:r>
            <w:r w:rsidR="00F00A6D">
              <w:rPr>
                <w:szCs w:val="24"/>
                <w:lang w:val="en-IE"/>
              </w:rPr>
              <w:t xml:space="preserve"> Checklist 1. </w:t>
            </w:r>
          </w:p>
          <w:p w14:paraId="6E2C21E1" w14:textId="77777777" w:rsidR="000D404E" w:rsidRPr="0059550D" w:rsidRDefault="000D404E" w:rsidP="003D0CDD">
            <w:pPr>
              <w:rPr>
                <w:szCs w:val="24"/>
                <w:lang w:val="en-IE"/>
              </w:rPr>
            </w:pPr>
          </w:p>
          <w:p w14:paraId="164B1EB6" w14:textId="77CE74AD" w:rsidR="000D404E" w:rsidRPr="0059550D" w:rsidRDefault="000D404E" w:rsidP="000D404E">
            <w:pPr>
              <w:rPr>
                <w:szCs w:val="24"/>
                <w:lang w:val="en-IE"/>
              </w:rPr>
            </w:pPr>
            <w:r w:rsidRPr="0059550D">
              <w:rPr>
                <w:szCs w:val="24"/>
                <w:lang w:val="en-IE"/>
              </w:rPr>
              <w:t xml:space="preserve">The additional codes are useful in implementations with comprehensive eTendering systems and/or procedures with extensive joint procurement or use of procurement service providers to take care of different phases of the procedure.  </w:t>
            </w:r>
          </w:p>
        </w:tc>
      </w:tr>
      <w:tr w:rsidR="008B6DC8" w:rsidRPr="0059550D" w14:paraId="4D162F05" w14:textId="77777777" w:rsidTr="00651044">
        <w:tc>
          <w:tcPr>
            <w:tcW w:w="483" w:type="pct"/>
            <w:shd w:val="clear" w:color="auto" w:fill="8DB3E2" w:themeFill="text2" w:themeFillTint="66"/>
          </w:tcPr>
          <w:p w14:paraId="2B74094F" w14:textId="40B98A54" w:rsidR="008B6DC8" w:rsidRPr="0059550D" w:rsidRDefault="008B6DC8" w:rsidP="008B6DC8">
            <w:pPr>
              <w:pStyle w:val="NoSpacing"/>
              <w:rPr>
                <w:lang w:val="en-IE"/>
              </w:rPr>
            </w:pPr>
            <w:r w:rsidRPr="0059550D">
              <w:rPr>
                <w:lang w:val="en-IE"/>
              </w:rPr>
              <w:t>Buyer Legal Type</w:t>
            </w:r>
            <w:r w:rsidRPr="0059550D">
              <w:rPr>
                <w:lang w:val="en-IE"/>
              </w:rPr>
              <w:br/>
              <w:t>(BT-11)</w:t>
            </w:r>
          </w:p>
        </w:tc>
        <w:tc>
          <w:tcPr>
            <w:tcW w:w="2699" w:type="pct"/>
            <w:shd w:val="clear" w:color="auto" w:fill="8DB3E2" w:themeFill="text2" w:themeFillTint="66"/>
          </w:tcPr>
          <w:tbl>
            <w:tblPr>
              <w:tblW w:w="7460" w:type="dxa"/>
              <w:tblLook w:val="04A0" w:firstRow="1" w:lastRow="0" w:firstColumn="1" w:lastColumn="0" w:noHBand="0" w:noVBand="1"/>
            </w:tblPr>
            <w:tblGrid>
              <w:gridCol w:w="7460"/>
            </w:tblGrid>
            <w:tr w:rsidR="00894F6E" w:rsidRPr="0059550D" w14:paraId="670C3794" w14:textId="77777777" w:rsidTr="00894F6E">
              <w:trPr>
                <w:trHeight w:val="260"/>
              </w:trPr>
              <w:tc>
                <w:tcPr>
                  <w:tcW w:w="7460" w:type="dxa"/>
                  <w:tcBorders>
                    <w:top w:val="nil"/>
                    <w:left w:val="nil"/>
                    <w:bottom w:val="nil"/>
                    <w:right w:val="nil"/>
                  </w:tcBorders>
                  <w:shd w:val="clear" w:color="auto" w:fill="auto"/>
                  <w:noWrap/>
                  <w:hideMark/>
                </w:tcPr>
                <w:p w14:paraId="7A9952D9" w14:textId="77777777" w:rsidR="00894F6E" w:rsidRPr="0059550D" w:rsidRDefault="00894F6E" w:rsidP="00DC6C47">
                  <w:pPr>
                    <w:pStyle w:val="ListParagraph"/>
                    <w:numPr>
                      <w:ilvl w:val="0"/>
                      <w:numId w:val="10"/>
                    </w:numPr>
                    <w:spacing w:line="276" w:lineRule="auto"/>
                    <w:contextualSpacing w:val="0"/>
                    <w:rPr>
                      <w:i/>
                      <w:szCs w:val="24"/>
                      <w:lang w:val="en-IE"/>
                    </w:rPr>
                  </w:pPr>
                  <w:r w:rsidRPr="0059550D">
                    <w:rPr>
                      <w:i/>
                      <w:szCs w:val="24"/>
                      <w:lang w:val="en-IE"/>
                    </w:rPr>
                    <w:t>Central government authority</w:t>
                  </w:r>
                </w:p>
              </w:tc>
            </w:tr>
            <w:tr w:rsidR="00894F6E" w:rsidRPr="0059550D" w14:paraId="257D87E8" w14:textId="77777777" w:rsidTr="00894F6E">
              <w:trPr>
                <w:trHeight w:val="260"/>
              </w:trPr>
              <w:tc>
                <w:tcPr>
                  <w:tcW w:w="7460" w:type="dxa"/>
                  <w:tcBorders>
                    <w:top w:val="nil"/>
                    <w:left w:val="nil"/>
                    <w:bottom w:val="nil"/>
                    <w:right w:val="nil"/>
                  </w:tcBorders>
                  <w:shd w:val="clear" w:color="auto" w:fill="auto"/>
                  <w:noWrap/>
                  <w:hideMark/>
                </w:tcPr>
                <w:p w14:paraId="5ABD2692" w14:textId="77777777" w:rsidR="00894F6E" w:rsidRPr="0059550D" w:rsidRDefault="00894F6E" w:rsidP="00DC6C47">
                  <w:pPr>
                    <w:pStyle w:val="ListParagraph"/>
                    <w:numPr>
                      <w:ilvl w:val="0"/>
                      <w:numId w:val="10"/>
                    </w:numPr>
                    <w:spacing w:line="276" w:lineRule="auto"/>
                    <w:contextualSpacing w:val="0"/>
                    <w:rPr>
                      <w:i/>
                      <w:szCs w:val="24"/>
                      <w:lang w:val="en-IE"/>
                    </w:rPr>
                  </w:pPr>
                  <w:r w:rsidRPr="0059550D">
                    <w:rPr>
                      <w:i/>
                      <w:szCs w:val="24"/>
                      <w:lang w:val="en-IE"/>
                    </w:rPr>
                    <w:t>Regional authority</w:t>
                  </w:r>
                </w:p>
              </w:tc>
            </w:tr>
            <w:tr w:rsidR="00894F6E" w:rsidRPr="0059550D" w14:paraId="5EBEC1F4" w14:textId="77777777" w:rsidTr="00894F6E">
              <w:trPr>
                <w:trHeight w:val="260"/>
              </w:trPr>
              <w:tc>
                <w:tcPr>
                  <w:tcW w:w="7460" w:type="dxa"/>
                  <w:tcBorders>
                    <w:top w:val="nil"/>
                    <w:left w:val="nil"/>
                    <w:bottom w:val="nil"/>
                    <w:right w:val="nil"/>
                  </w:tcBorders>
                  <w:shd w:val="clear" w:color="auto" w:fill="auto"/>
                  <w:noWrap/>
                  <w:hideMark/>
                </w:tcPr>
                <w:p w14:paraId="5BD39317" w14:textId="77777777" w:rsidR="00894F6E" w:rsidRPr="0059550D" w:rsidRDefault="00894F6E" w:rsidP="00DC6C47">
                  <w:pPr>
                    <w:pStyle w:val="ListParagraph"/>
                    <w:numPr>
                      <w:ilvl w:val="0"/>
                      <w:numId w:val="10"/>
                    </w:numPr>
                    <w:spacing w:line="276" w:lineRule="auto"/>
                    <w:contextualSpacing w:val="0"/>
                    <w:rPr>
                      <w:i/>
                      <w:szCs w:val="24"/>
                      <w:lang w:val="en-IE"/>
                    </w:rPr>
                  </w:pPr>
                  <w:r w:rsidRPr="0059550D">
                    <w:rPr>
                      <w:i/>
                      <w:szCs w:val="24"/>
                      <w:lang w:val="en-IE"/>
                    </w:rPr>
                    <w:t>Local authority</w:t>
                  </w:r>
                </w:p>
              </w:tc>
            </w:tr>
            <w:tr w:rsidR="00894F6E" w:rsidRPr="0059550D" w14:paraId="0C58A599" w14:textId="77777777" w:rsidTr="00894F6E">
              <w:trPr>
                <w:trHeight w:val="260"/>
              </w:trPr>
              <w:tc>
                <w:tcPr>
                  <w:tcW w:w="7460" w:type="dxa"/>
                  <w:tcBorders>
                    <w:top w:val="nil"/>
                    <w:left w:val="nil"/>
                    <w:bottom w:val="nil"/>
                    <w:right w:val="nil"/>
                  </w:tcBorders>
                  <w:shd w:val="clear" w:color="auto" w:fill="auto"/>
                  <w:noWrap/>
                  <w:hideMark/>
                </w:tcPr>
                <w:p w14:paraId="57239D5C" w14:textId="77777777" w:rsidR="00894F6E" w:rsidRPr="0059550D" w:rsidRDefault="00894F6E" w:rsidP="00DC6C47">
                  <w:pPr>
                    <w:pStyle w:val="ListParagraph"/>
                    <w:numPr>
                      <w:ilvl w:val="0"/>
                      <w:numId w:val="10"/>
                    </w:numPr>
                    <w:spacing w:line="276" w:lineRule="auto"/>
                    <w:contextualSpacing w:val="0"/>
                    <w:rPr>
                      <w:i/>
                      <w:szCs w:val="24"/>
                      <w:lang w:val="en-IE"/>
                    </w:rPr>
                  </w:pPr>
                  <w:r w:rsidRPr="0059550D">
                    <w:rPr>
                      <w:i/>
                      <w:szCs w:val="24"/>
                      <w:lang w:val="en-IE"/>
                    </w:rPr>
                    <w:t>Body governed by public law</w:t>
                  </w:r>
                </w:p>
              </w:tc>
            </w:tr>
            <w:tr w:rsidR="00894F6E" w:rsidRPr="0059550D" w14:paraId="7D237435" w14:textId="77777777" w:rsidTr="00894F6E">
              <w:trPr>
                <w:trHeight w:val="260"/>
              </w:trPr>
              <w:tc>
                <w:tcPr>
                  <w:tcW w:w="7460" w:type="dxa"/>
                  <w:tcBorders>
                    <w:top w:val="nil"/>
                    <w:left w:val="nil"/>
                    <w:bottom w:val="nil"/>
                    <w:right w:val="nil"/>
                  </w:tcBorders>
                  <w:shd w:val="clear" w:color="auto" w:fill="auto"/>
                  <w:noWrap/>
                  <w:hideMark/>
                </w:tcPr>
                <w:p w14:paraId="3FD58386" w14:textId="77777777" w:rsidR="00894F6E" w:rsidRPr="0059550D" w:rsidRDefault="00894F6E" w:rsidP="00DC6C47">
                  <w:pPr>
                    <w:pStyle w:val="ListParagraph"/>
                    <w:numPr>
                      <w:ilvl w:val="1"/>
                      <w:numId w:val="10"/>
                    </w:numPr>
                    <w:spacing w:line="276" w:lineRule="auto"/>
                    <w:contextualSpacing w:val="0"/>
                    <w:rPr>
                      <w:i/>
                      <w:szCs w:val="24"/>
                      <w:lang w:val="en-IE"/>
                    </w:rPr>
                  </w:pPr>
                  <w:r w:rsidRPr="0059550D">
                    <w:rPr>
                      <w:i/>
                      <w:szCs w:val="24"/>
                      <w:lang w:val="en-IE"/>
                    </w:rPr>
                    <w:t>Body governed by public law, controlled by a central government authority</w:t>
                  </w:r>
                </w:p>
              </w:tc>
            </w:tr>
            <w:tr w:rsidR="00894F6E" w:rsidRPr="0059550D" w14:paraId="05FD06A3" w14:textId="77777777" w:rsidTr="00894F6E">
              <w:trPr>
                <w:trHeight w:val="260"/>
              </w:trPr>
              <w:tc>
                <w:tcPr>
                  <w:tcW w:w="7460" w:type="dxa"/>
                  <w:tcBorders>
                    <w:top w:val="nil"/>
                    <w:left w:val="nil"/>
                    <w:bottom w:val="nil"/>
                    <w:right w:val="nil"/>
                  </w:tcBorders>
                  <w:shd w:val="clear" w:color="auto" w:fill="auto"/>
                  <w:noWrap/>
                  <w:hideMark/>
                </w:tcPr>
                <w:p w14:paraId="542E0EDD" w14:textId="77777777" w:rsidR="00894F6E" w:rsidRPr="0059550D" w:rsidRDefault="00894F6E" w:rsidP="00DC6C47">
                  <w:pPr>
                    <w:pStyle w:val="ListParagraph"/>
                    <w:numPr>
                      <w:ilvl w:val="1"/>
                      <w:numId w:val="10"/>
                    </w:numPr>
                    <w:spacing w:line="276" w:lineRule="auto"/>
                    <w:contextualSpacing w:val="0"/>
                    <w:rPr>
                      <w:i/>
                      <w:szCs w:val="24"/>
                      <w:lang w:val="en-IE"/>
                    </w:rPr>
                  </w:pPr>
                  <w:r w:rsidRPr="0059550D">
                    <w:rPr>
                      <w:i/>
                      <w:szCs w:val="24"/>
                      <w:lang w:val="en-IE"/>
                    </w:rPr>
                    <w:t>Body governed by public law, controlled by a regional authority</w:t>
                  </w:r>
                </w:p>
              </w:tc>
            </w:tr>
            <w:tr w:rsidR="00894F6E" w:rsidRPr="0059550D" w14:paraId="7350E6EE" w14:textId="77777777" w:rsidTr="00894F6E">
              <w:trPr>
                <w:trHeight w:val="260"/>
              </w:trPr>
              <w:tc>
                <w:tcPr>
                  <w:tcW w:w="7460" w:type="dxa"/>
                  <w:tcBorders>
                    <w:top w:val="nil"/>
                    <w:left w:val="nil"/>
                    <w:bottom w:val="nil"/>
                    <w:right w:val="nil"/>
                  </w:tcBorders>
                  <w:shd w:val="clear" w:color="auto" w:fill="auto"/>
                  <w:noWrap/>
                  <w:hideMark/>
                </w:tcPr>
                <w:p w14:paraId="56F4403A" w14:textId="77777777" w:rsidR="00894F6E" w:rsidRPr="0059550D" w:rsidRDefault="00894F6E" w:rsidP="00DC6C47">
                  <w:pPr>
                    <w:pStyle w:val="ListParagraph"/>
                    <w:numPr>
                      <w:ilvl w:val="1"/>
                      <w:numId w:val="10"/>
                    </w:numPr>
                    <w:spacing w:line="276" w:lineRule="auto"/>
                    <w:contextualSpacing w:val="0"/>
                    <w:rPr>
                      <w:i/>
                      <w:szCs w:val="24"/>
                      <w:lang w:val="en-IE"/>
                    </w:rPr>
                  </w:pPr>
                  <w:r w:rsidRPr="0059550D">
                    <w:rPr>
                      <w:i/>
                      <w:szCs w:val="24"/>
                      <w:lang w:val="en-IE"/>
                    </w:rPr>
                    <w:t>Body governed by public law, controlled by a local authority</w:t>
                  </w:r>
                </w:p>
              </w:tc>
            </w:tr>
            <w:tr w:rsidR="00894F6E" w:rsidRPr="0059550D" w14:paraId="11C795ED" w14:textId="77777777" w:rsidTr="00894F6E">
              <w:trPr>
                <w:trHeight w:val="260"/>
              </w:trPr>
              <w:tc>
                <w:tcPr>
                  <w:tcW w:w="7460" w:type="dxa"/>
                  <w:tcBorders>
                    <w:top w:val="nil"/>
                    <w:left w:val="nil"/>
                    <w:bottom w:val="nil"/>
                    <w:right w:val="nil"/>
                  </w:tcBorders>
                  <w:shd w:val="clear" w:color="auto" w:fill="auto"/>
                  <w:noWrap/>
                  <w:hideMark/>
                </w:tcPr>
                <w:p w14:paraId="01B82DF4" w14:textId="77777777" w:rsidR="00894F6E" w:rsidRPr="0059550D" w:rsidRDefault="00894F6E" w:rsidP="00DC6C47">
                  <w:pPr>
                    <w:pStyle w:val="ListParagraph"/>
                    <w:numPr>
                      <w:ilvl w:val="0"/>
                      <w:numId w:val="10"/>
                    </w:numPr>
                    <w:spacing w:line="276" w:lineRule="auto"/>
                    <w:contextualSpacing w:val="0"/>
                    <w:rPr>
                      <w:i/>
                      <w:szCs w:val="24"/>
                      <w:lang w:val="en-IE"/>
                    </w:rPr>
                  </w:pPr>
                  <w:r w:rsidRPr="0059550D">
                    <w:rPr>
                      <w:i/>
                      <w:szCs w:val="24"/>
                      <w:lang w:val="en-IE"/>
                    </w:rPr>
                    <w:t>Public undertaking</w:t>
                  </w:r>
                </w:p>
              </w:tc>
            </w:tr>
            <w:tr w:rsidR="00894F6E" w:rsidRPr="0059550D" w14:paraId="1F8870EE" w14:textId="77777777" w:rsidTr="00894F6E">
              <w:trPr>
                <w:trHeight w:val="260"/>
              </w:trPr>
              <w:tc>
                <w:tcPr>
                  <w:tcW w:w="7460" w:type="dxa"/>
                  <w:tcBorders>
                    <w:top w:val="nil"/>
                    <w:left w:val="nil"/>
                    <w:bottom w:val="nil"/>
                    <w:right w:val="nil"/>
                  </w:tcBorders>
                  <w:shd w:val="clear" w:color="auto" w:fill="auto"/>
                  <w:noWrap/>
                  <w:hideMark/>
                </w:tcPr>
                <w:p w14:paraId="30CF65FD" w14:textId="77777777" w:rsidR="00894F6E" w:rsidRPr="0059550D" w:rsidRDefault="00894F6E" w:rsidP="00DC6C47">
                  <w:pPr>
                    <w:pStyle w:val="ListParagraph"/>
                    <w:numPr>
                      <w:ilvl w:val="1"/>
                      <w:numId w:val="10"/>
                    </w:numPr>
                    <w:spacing w:line="276" w:lineRule="auto"/>
                    <w:contextualSpacing w:val="0"/>
                    <w:rPr>
                      <w:i/>
                      <w:szCs w:val="24"/>
                      <w:lang w:val="en-IE"/>
                    </w:rPr>
                  </w:pPr>
                  <w:r w:rsidRPr="0059550D">
                    <w:rPr>
                      <w:i/>
                      <w:szCs w:val="24"/>
                      <w:lang w:val="en-IE"/>
                    </w:rPr>
                    <w:t>Public undertaking, controlled by a central government authority</w:t>
                  </w:r>
                </w:p>
              </w:tc>
            </w:tr>
            <w:tr w:rsidR="00894F6E" w:rsidRPr="0059550D" w14:paraId="3962DF33" w14:textId="77777777" w:rsidTr="00894F6E">
              <w:trPr>
                <w:trHeight w:val="260"/>
              </w:trPr>
              <w:tc>
                <w:tcPr>
                  <w:tcW w:w="7460" w:type="dxa"/>
                  <w:tcBorders>
                    <w:top w:val="nil"/>
                    <w:left w:val="nil"/>
                    <w:bottom w:val="nil"/>
                    <w:right w:val="nil"/>
                  </w:tcBorders>
                  <w:shd w:val="clear" w:color="auto" w:fill="auto"/>
                  <w:noWrap/>
                  <w:hideMark/>
                </w:tcPr>
                <w:p w14:paraId="50612204" w14:textId="77777777" w:rsidR="00894F6E" w:rsidRPr="0059550D" w:rsidRDefault="00894F6E" w:rsidP="00DC6C47">
                  <w:pPr>
                    <w:pStyle w:val="ListParagraph"/>
                    <w:numPr>
                      <w:ilvl w:val="1"/>
                      <w:numId w:val="10"/>
                    </w:numPr>
                    <w:spacing w:line="276" w:lineRule="auto"/>
                    <w:contextualSpacing w:val="0"/>
                    <w:rPr>
                      <w:i/>
                      <w:szCs w:val="24"/>
                      <w:lang w:val="en-IE"/>
                    </w:rPr>
                  </w:pPr>
                  <w:r w:rsidRPr="0059550D">
                    <w:rPr>
                      <w:i/>
                      <w:szCs w:val="24"/>
                      <w:lang w:val="en-IE"/>
                    </w:rPr>
                    <w:t>Public undertaking, controlled by a regional authority</w:t>
                  </w:r>
                </w:p>
              </w:tc>
            </w:tr>
            <w:tr w:rsidR="00894F6E" w:rsidRPr="0059550D" w14:paraId="6BA9F7A0" w14:textId="77777777" w:rsidTr="00894F6E">
              <w:trPr>
                <w:trHeight w:val="260"/>
              </w:trPr>
              <w:tc>
                <w:tcPr>
                  <w:tcW w:w="7460" w:type="dxa"/>
                  <w:tcBorders>
                    <w:top w:val="nil"/>
                    <w:left w:val="nil"/>
                    <w:bottom w:val="nil"/>
                    <w:right w:val="nil"/>
                  </w:tcBorders>
                  <w:shd w:val="clear" w:color="auto" w:fill="auto"/>
                  <w:noWrap/>
                  <w:hideMark/>
                </w:tcPr>
                <w:p w14:paraId="21198903" w14:textId="77777777" w:rsidR="00894F6E" w:rsidRPr="0059550D" w:rsidRDefault="00894F6E" w:rsidP="00DC6C47">
                  <w:pPr>
                    <w:pStyle w:val="ListParagraph"/>
                    <w:numPr>
                      <w:ilvl w:val="1"/>
                      <w:numId w:val="10"/>
                    </w:numPr>
                    <w:spacing w:line="276" w:lineRule="auto"/>
                    <w:contextualSpacing w:val="0"/>
                    <w:rPr>
                      <w:i/>
                      <w:szCs w:val="24"/>
                      <w:lang w:val="en-IE"/>
                    </w:rPr>
                  </w:pPr>
                  <w:r w:rsidRPr="0059550D">
                    <w:rPr>
                      <w:i/>
                      <w:szCs w:val="24"/>
                      <w:lang w:val="en-IE"/>
                    </w:rPr>
                    <w:t>Public undertaking, controlled by a local authority</w:t>
                  </w:r>
                </w:p>
              </w:tc>
            </w:tr>
            <w:tr w:rsidR="00894F6E" w:rsidRPr="0059550D" w14:paraId="41A02732" w14:textId="77777777" w:rsidTr="00894F6E">
              <w:trPr>
                <w:trHeight w:val="260"/>
              </w:trPr>
              <w:tc>
                <w:tcPr>
                  <w:tcW w:w="7460" w:type="dxa"/>
                  <w:tcBorders>
                    <w:top w:val="nil"/>
                    <w:left w:val="nil"/>
                    <w:bottom w:val="nil"/>
                    <w:right w:val="nil"/>
                  </w:tcBorders>
                  <w:shd w:val="clear" w:color="auto" w:fill="auto"/>
                  <w:noWrap/>
                  <w:hideMark/>
                </w:tcPr>
                <w:p w14:paraId="728DB686" w14:textId="77777777" w:rsidR="00894F6E" w:rsidRPr="0059550D" w:rsidRDefault="00894F6E" w:rsidP="00DC6C47">
                  <w:pPr>
                    <w:pStyle w:val="ListParagraph"/>
                    <w:numPr>
                      <w:ilvl w:val="0"/>
                      <w:numId w:val="10"/>
                    </w:numPr>
                    <w:spacing w:line="276" w:lineRule="auto"/>
                    <w:contextualSpacing w:val="0"/>
                    <w:rPr>
                      <w:i/>
                      <w:szCs w:val="24"/>
                      <w:lang w:val="en-IE"/>
                    </w:rPr>
                  </w:pPr>
                  <w:r w:rsidRPr="0059550D">
                    <w:rPr>
                      <w:i/>
                      <w:szCs w:val="24"/>
                      <w:lang w:val="en-IE"/>
                    </w:rPr>
                    <w:t>Entity with special or exclusive rights</w:t>
                  </w:r>
                </w:p>
              </w:tc>
            </w:tr>
            <w:tr w:rsidR="00894F6E" w:rsidRPr="0059550D" w14:paraId="4FE5B33F" w14:textId="77777777" w:rsidTr="00894F6E">
              <w:trPr>
                <w:trHeight w:val="260"/>
              </w:trPr>
              <w:tc>
                <w:tcPr>
                  <w:tcW w:w="7460" w:type="dxa"/>
                  <w:tcBorders>
                    <w:top w:val="nil"/>
                    <w:left w:val="nil"/>
                    <w:bottom w:val="nil"/>
                    <w:right w:val="nil"/>
                  </w:tcBorders>
                  <w:shd w:val="clear" w:color="auto" w:fill="auto"/>
                  <w:noWrap/>
                  <w:hideMark/>
                </w:tcPr>
                <w:p w14:paraId="380C6E06" w14:textId="77777777" w:rsidR="00894F6E" w:rsidRPr="0059550D" w:rsidRDefault="00894F6E" w:rsidP="00DC6C47">
                  <w:pPr>
                    <w:pStyle w:val="ListParagraph"/>
                    <w:numPr>
                      <w:ilvl w:val="0"/>
                      <w:numId w:val="10"/>
                    </w:numPr>
                    <w:spacing w:line="276" w:lineRule="auto"/>
                    <w:contextualSpacing w:val="0"/>
                    <w:rPr>
                      <w:i/>
                      <w:szCs w:val="24"/>
                      <w:lang w:val="en-IE"/>
                    </w:rPr>
                  </w:pPr>
                  <w:r w:rsidRPr="0059550D">
                    <w:rPr>
                      <w:i/>
                      <w:szCs w:val="24"/>
                      <w:lang w:val="en-IE"/>
                    </w:rPr>
                    <w:t>Organisation awarding a contract subsidised by a contracting authority</w:t>
                  </w:r>
                </w:p>
              </w:tc>
            </w:tr>
            <w:tr w:rsidR="00894F6E" w:rsidRPr="0059550D" w14:paraId="1F1FD9D9" w14:textId="77777777" w:rsidTr="00894F6E">
              <w:trPr>
                <w:trHeight w:val="260"/>
              </w:trPr>
              <w:tc>
                <w:tcPr>
                  <w:tcW w:w="7460" w:type="dxa"/>
                  <w:tcBorders>
                    <w:top w:val="nil"/>
                    <w:left w:val="nil"/>
                    <w:bottom w:val="nil"/>
                    <w:right w:val="nil"/>
                  </w:tcBorders>
                  <w:shd w:val="clear" w:color="auto" w:fill="auto"/>
                  <w:noWrap/>
                  <w:hideMark/>
                </w:tcPr>
                <w:p w14:paraId="3A1A5446" w14:textId="77777777" w:rsidR="00894F6E" w:rsidRPr="0059550D" w:rsidRDefault="00894F6E" w:rsidP="00DC6C47">
                  <w:pPr>
                    <w:pStyle w:val="ListParagraph"/>
                    <w:numPr>
                      <w:ilvl w:val="1"/>
                      <w:numId w:val="10"/>
                    </w:numPr>
                    <w:spacing w:line="276" w:lineRule="auto"/>
                    <w:contextualSpacing w:val="0"/>
                    <w:rPr>
                      <w:i/>
                      <w:szCs w:val="24"/>
                      <w:lang w:val="en-IE"/>
                    </w:rPr>
                  </w:pPr>
                  <w:r w:rsidRPr="0059550D">
                    <w:rPr>
                      <w:i/>
                      <w:szCs w:val="24"/>
                      <w:lang w:val="en-IE"/>
                    </w:rPr>
                    <w:t>Organisation awarding a contract subsidised by a central government authority</w:t>
                  </w:r>
                </w:p>
              </w:tc>
            </w:tr>
            <w:tr w:rsidR="00894F6E" w:rsidRPr="0059550D" w14:paraId="0CFACB21" w14:textId="77777777" w:rsidTr="00894F6E">
              <w:trPr>
                <w:trHeight w:val="260"/>
              </w:trPr>
              <w:tc>
                <w:tcPr>
                  <w:tcW w:w="7460" w:type="dxa"/>
                  <w:tcBorders>
                    <w:top w:val="nil"/>
                    <w:left w:val="nil"/>
                    <w:bottom w:val="nil"/>
                    <w:right w:val="nil"/>
                  </w:tcBorders>
                  <w:shd w:val="clear" w:color="auto" w:fill="auto"/>
                  <w:noWrap/>
                  <w:hideMark/>
                </w:tcPr>
                <w:p w14:paraId="23F51A33" w14:textId="77777777" w:rsidR="00894F6E" w:rsidRPr="0059550D" w:rsidRDefault="00894F6E" w:rsidP="00DC6C47">
                  <w:pPr>
                    <w:pStyle w:val="ListParagraph"/>
                    <w:numPr>
                      <w:ilvl w:val="1"/>
                      <w:numId w:val="10"/>
                    </w:numPr>
                    <w:spacing w:line="276" w:lineRule="auto"/>
                    <w:contextualSpacing w:val="0"/>
                    <w:rPr>
                      <w:i/>
                      <w:szCs w:val="24"/>
                      <w:lang w:val="en-IE"/>
                    </w:rPr>
                  </w:pPr>
                  <w:r w:rsidRPr="0059550D">
                    <w:rPr>
                      <w:i/>
                      <w:szCs w:val="24"/>
                      <w:lang w:val="en-IE"/>
                    </w:rPr>
                    <w:t>Organisation awarding a contract subsidised by a regional authority</w:t>
                  </w:r>
                </w:p>
              </w:tc>
            </w:tr>
            <w:tr w:rsidR="00894F6E" w:rsidRPr="0059550D" w14:paraId="5FBF1904" w14:textId="77777777" w:rsidTr="00894F6E">
              <w:trPr>
                <w:trHeight w:val="260"/>
              </w:trPr>
              <w:tc>
                <w:tcPr>
                  <w:tcW w:w="7460" w:type="dxa"/>
                  <w:tcBorders>
                    <w:top w:val="nil"/>
                    <w:left w:val="nil"/>
                    <w:bottom w:val="nil"/>
                    <w:right w:val="nil"/>
                  </w:tcBorders>
                  <w:shd w:val="clear" w:color="auto" w:fill="auto"/>
                  <w:noWrap/>
                  <w:hideMark/>
                </w:tcPr>
                <w:p w14:paraId="0C4F7819" w14:textId="77777777" w:rsidR="00894F6E" w:rsidRPr="0059550D" w:rsidRDefault="00894F6E" w:rsidP="00DC6C47">
                  <w:pPr>
                    <w:pStyle w:val="ListParagraph"/>
                    <w:numPr>
                      <w:ilvl w:val="1"/>
                      <w:numId w:val="10"/>
                    </w:numPr>
                    <w:spacing w:line="276" w:lineRule="auto"/>
                    <w:contextualSpacing w:val="0"/>
                    <w:rPr>
                      <w:i/>
                      <w:szCs w:val="24"/>
                      <w:lang w:val="en-IE"/>
                    </w:rPr>
                  </w:pPr>
                  <w:r w:rsidRPr="0059550D">
                    <w:rPr>
                      <w:i/>
                      <w:szCs w:val="24"/>
                      <w:lang w:val="en-IE"/>
                    </w:rPr>
                    <w:t>Organisation awarding a contract subsidised by a local authority</w:t>
                  </w:r>
                </w:p>
              </w:tc>
            </w:tr>
            <w:tr w:rsidR="00894F6E" w:rsidRPr="0059550D" w14:paraId="5C663F0C" w14:textId="77777777" w:rsidTr="00894F6E">
              <w:trPr>
                <w:trHeight w:val="260"/>
              </w:trPr>
              <w:tc>
                <w:tcPr>
                  <w:tcW w:w="7460" w:type="dxa"/>
                  <w:tcBorders>
                    <w:top w:val="nil"/>
                    <w:left w:val="nil"/>
                    <w:bottom w:val="nil"/>
                    <w:right w:val="nil"/>
                  </w:tcBorders>
                  <w:shd w:val="clear" w:color="auto" w:fill="auto"/>
                  <w:noWrap/>
                  <w:hideMark/>
                </w:tcPr>
                <w:p w14:paraId="412FA8A9" w14:textId="77777777" w:rsidR="00894F6E" w:rsidRPr="0059550D" w:rsidRDefault="00894F6E" w:rsidP="00DC6C47">
                  <w:pPr>
                    <w:pStyle w:val="ListParagraph"/>
                    <w:numPr>
                      <w:ilvl w:val="0"/>
                      <w:numId w:val="10"/>
                    </w:numPr>
                    <w:spacing w:line="276" w:lineRule="auto"/>
                    <w:contextualSpacing w:val="0"/>
                    <w:rPr>
                      <w:i/>
                      <w:szCs w:val="24"/>
                      <w:lang w:val="en-IE"/>
                    </w:rPr>
                  </w:pPr>
                  <w:r w:rsidRPr="0059550D">
                    <w:rPr>
                      <w:i/>
                      <w:szCs w:val="24"/>
                      <w:lang w:val="en-IE"/>
                    </w:rPr>
                    <w:t>Defense contractor</w:t>
                  </w:r>
                </w:p>
              </w:tc>
            </w:tr>
            <w:tr w:rsidR="00894F6E" w:rsidRPr="0059550D" w14:paraId="292DD4A9" w14:textId="77777777" w:rsidTr="00894F6E">
              <w:trPr>
                <w:trHeight w:val="260"/>
              </w:trPr>
              <w:tc>
                <w:tcPr>
                  <w:tcW w:w="7460" w:type="dxa"/>
                  <w:tcBorders>
                    <w:top w:val="nil"/>
                    <w:left w:val="nil"/>
                    <w:bottom w:val="nil"/>
                    <w:right w:val="nil"/>
                  </w:tcBorders>
                  <w:shd w:val="clear" w:color="auto" w:fill="auto"/>
                  <w:noWrap/>
                  <w:hideMark/>
                </w:tcPr>
                <w:p w14:paraId="2D6A68BB" w14:textId="77777777" w:rsidR="00894F6E" w:rsidRDefault="00894F6E" w:rsidP="00DC6C47">
                  <w:pPr>
                    <w:pStyle w:val="ListParagraph"/>
                    <w:numPr>
                      <w:ilvl w:val="0"/>
                      <w:numId w:val="10"/>
                    </w:numPr>
                    <w:spacing w:line="276" w:lineRule="auto"/>
                    <w:contextualSpacing w:val="0"/>
                    <w:rPr>
                      <w:i/>
                      <w:szCs w:val="24"/>
                      <w:lang w:val="en-IE"/>
                    </w:rPr>
                  </w:pPr>
                  <w:r w:rsidRPr="0059550D">
                    <w:rPr>
                      <w:i/>
                      <w:szCs w:val="24"/>
                      <w:lang w:val="en-IE"/>
                    </w:rPr>
                    <w:t>International organisation</w:t>
                  </w:r>
                </w:p>
                <w:p w14:paraId="598D9F87" w14:textId="0BDCB1CF" w:rsidR="00035154" w:rsidRPr="0059550D" w:rsidRDefault="00035154" w:rsidP="00DC6C47">
                  <w:pPr>
                    <w:pStyle w:val="ListParagraph"/>
                    <w:numPr>
                      <w:ilvl w:val="0"/>
                      <w:numId w:val="10"/>
                    </w:numPr>
                    <w:spacing w:line="276" w:lineRule="auto"/>
                    <w:contextualSpacing w:val="0"/>
                    <w:rPr>
                      <w:i/>
                      <w:szCs w:val="24"/>
                      <w:lang w:val="en-IE"/>
                    </w:rPr>
                  </w:pPr>
                  <w:r>
                    <w:rPr>
                      <w:i/>
                      <w:szCs w:val="24"/>
                      <w:lang w:val="en-IE"/>
                    </w:rPr>
                    <w:t>EU institution, body or agency</w:t>
                  </w:r>
                </w:p>
              </w:tc>
            </w:tr>
          </w:tbl>
          <w:p w14:paraId="1D95D579" w14:textId="77777777" w:rsidR="008B6DC8" w:rsidRPr="0059550D" w:rsidRDefault="008B6DC8" w:rsidP="00894F6E">
            <w:pPr>
              <w:spacing w:line="276" w:lineRule="auto"/>
              <w:rPr>
                <w:i/>
                <w:szCs w:val="24"/>
                <w:lang w:val="en-IE"/>
              </w:rPr>
            </w:pPr>
          </w:p>
        </w:tc>
        <w:tc>
          <w:tcPr>
            <w:tcW w:w="1818" w:type="pct"/>
          </w:tcPr>
          <w:p w14:paraId="09B66C61" w14:textId="77777777" w:rsidR="00485500" w:rsidRPr="0059550D" w:rsidRDefault="00A374F1" w:rsidP="00A165E2">
            <w:pPr>
              <w:rPr>
                <w:szCs w:val="24"/>
                <w:lang w:val="en-IE"/>
              </w:rPr>
            </w:pPr>
            <w:r w:rsidRPr="0059550D">
              <w:rPr>
                <w:szCs w:val="24"/>
                <w:lang w:val="en-IE"/>
              </w:rPr>
              <w:t>“Body</w:t>
            </w:r>
            <w:r w:rsidR="001A0CC6" w:rsidRPr="0059550D">
              <w:rPr>
                <w:szCs w:val="24"/>
                <w:lang w:val="en-IE"/>
              </w:rPr>
              <w:t xml:space="preserve"> governed by public law</w:t>
            </w:r>
            <w:r w:rsidRPr="0059550D">
              <w:rPr>
                <w:szCs w:val="24"/>
                <w:lang w:val="en-IE"/>
              </w:rPr>
              <w:t xml:space="preserve">”, “public undertaking” and “organisations awarding a contract subsidised by a contracting authority” </w:t>
            </w:r>
            <w:r w:rsidR="00CD7CD3" w:rsidRPr="0059550D">
              <w:rPr>
                <w:szCs w:val="24"/>
                <w:lang w:val="en-IE"/>
              </w:rPr>
              <w:t xml:space="preserve">can be further detailed </w:t>
            </w:r>
            <w:r w:rsidR="00A165E2" w:rsidRPr="0059550D">
              <w:rPr>
                <w:szCs w:val="24"/>
                <w:lang w:val="en-IE"/>
              </w:rPr>
              <w:t xml:space="preserve">on whether the body is “controlled by a central government authority”, “regional authority” and / or “local authority”. </w:t>
            </w:r>
          </w:p>
          <w:p w14:paraId="0FC024CC" w14:textId="77777777" w:rsidR="00485500" w:rsidRPr="0059550D" w:rsidRDefault="00485500" w:rsidP="00A165E2">
            <w:pPr>
              <w:rPr>
                <w:szCs w:val="24"/>
                <w:lang w:val="en-IE"/>
              </w:rPr>
            </w:pPr>
          </w:p>
          <w:p w14:paraId="182B3829" w14:textId="0FE01CD6" w:rsidR="002015E1" w:rsidRPr="0059550D" w:rsidRDefault="00CD7CD3" w:rsidP="00035154">
            <w:pPr>
              <w:rPr>
                <w:szCs w:val="24"/>
                <w:lang w:val="en-IE"/>
              </w:rPr>
            </w:pPr>
            <w:r w:rsidRPr="0059550D">
              <w:rPr>
                <w:szCs w:val="24"/>
                <w:lang w:val="en-IE"/>
              </w:rPr>
              <w:t xml:space="preserve">This </w:t>
            </w:r>
            <w:r w:rsidR="00485500" w:rsidRPr="0059550D">
              <w:rPr>
                <w:szCs w:val="24"/>
                <w:lang w:val="en-IE"/>
              </w:rPr>
              <w:t xml:space="preserve">“controlled by” specification </w:t>
            </w:r>
            <w:r w:rsidRPr="0059550D">
              <w:rPr>
                <w:szCs w:val="24"/>
                <w:lang w:val="en-IE"/>
              </w:rPr>
              <w:t xml:space="preserve">was requested by </w:t>
            </w:r>
            <w:r w:rsidR="00485500" w:rsidRPr="0059550D">
              <w:rPr>
                <w:szCs w:val="24"/>
                <w:lang w:val="en-IE"/>
              </w:rPr>
              <w:t>certain</w:t>
            </w:r>
            <w:r w:rsidRPr="0059550D">
              <w:rPr>
                <w:szCs w:val="24"/>
                <w:lang w:val="en-IE"/>
              </w:rPr>
              <w:t xml:space="preserve"> count</w:t>
            </w:r>
            <w:r w:rsidR="00485500" w:rsidRPr="0059550D">
              <w:rPr>
                <w:szCs w:val="24"/>
                <w:lang w:val="en-IE"/>
              </w:rPr>
              <w:t xml:space="preserve">ries. In countries where it is not useful, the codes </w:t>
            </w:r>
            <w:r w:rsidR="00035154">
              <w:rPr>
                <w:szCs w:val="24"/>
                <w:lang w:val="en-IE"/>
              </w:rPr>
              <w:t>do not need to be used</w:t>
            </w:r>
            <w:r w:rsidR="00485500" w:rsidRPr="0059550D">
              <w:rPr>
                <w:szCs w:val="24"/>
                <w:lang w:val="en-IE"/>
              </w:rPr>
              <w:t>.</w:t>
            </w:r>
          </w:p>
        </w:tc>
      </w:tr>
      <w:tr w:rsidR="008B6DC8" w:rsidRPr="0059550D" w14:paraId="7417ADAB" w14:textId="77777777" w:rsidTr="00651044">
        <w:tc>
          <w:tcPr>
            <w:tcW w:w="483" w:type="pct"/>
            <w:shd w:val="clear" w:color="auto" w:fill="8DB3E2" w:themeFill="text2" w:themeFillTint="66"/>
          </w:tcPr>
          <w:p w14:paraId="1663EA4F" w14:textId="798E49B7" w:rsidR="008B6DC8" w:rsidRPr="0059550D" w:rsidRDefault="008B6DC8" w:rsidP="008B6DC8">
            <w:pPr>
              <w:pStyle w:val="NoSpacing"/>
              <w:rPr>
                <w:lang w:val="en-IE"/>
              </w:rPr>
            </w:pPr>
            <w:r w:rsidRPr="0059550D">
              <w:rPr>
                <w:i/>
                <w:szCs w:val="24"/>
                <w:lang w:val="en-IE"/>
              </w:rPr>
              <w:t>Winner Size (BT</w:t>
            </w:r>
            <w:r w:rsidRPr="0059550D">
              <w:rPr>
                <w:i/>
                <w:szCs w:val="24"/>
                <w:lang w:val="en-IE"/>
              </w:rPr>
              <w:noBreakHyphen/>
              <w:t>165)</w:t>
            </w:r>
          </w:p>
        </w:tc>
        <w:tc>
          <w:tcPr>
            <w:tcW w:w="2699" w:type="pct"/>
            <w:shd w:val="clear" w:color="auto" w:fill="8DB3E2" w:themeFill="text2" w:themeFillTint="66"/>
          </w:tcPr>
          <w:p w14:paraId="62AEF115" w14:textId="77777777" w:rsidR="008B6DC8" w:rsidRPr="0059550D" w:rsidRDefault="008B6DC8" w:rsidP="008B6DC8">
            <w:pPr>
              <w:rPr>
                <w:i/>
                <w:szCs w:val="24"/>
                <w:lang w:val="en-IE"/>
              </w:rPr>
            </w:pPr>
            <w:r w:rsidRPr="0059550D">
              <w:rPr>
                <w:i/>
                <w:szCs w:val="24"/>
                <w:lang w:val="en-IE"/>
              </w:rPr>
              <w:t>“The size of the winner (e.g. micro enterprise, small enterprise, medium enterprise).”</w:t>
            </w:r>
          </w:p>
          <w:p w14:paraId="6C63995A" w14:textId="77777777" w:rsidR="008B6DC8" w:rsidRPr="0059550D" w:rsidRDefault="008B6DC8" w:rsidP="008B6DC8">
            <w:pPr>
              <w:pStyle w:val="ListParagraph"/>
              <w:rPr>
                <w:i/>
                <w:szCs w:val="24"/>
                <w:lang w:val="en-IE"/>
              </w:rPr>
            </w:pPr>
          </w:p>
          <w:p w14:paraId="43FF1306" w14:textId="77777777" w:rsidR="008B6DC8" w:rsidRPr="0059550D" w:rsidRDefault="008B6DC8" w:rsidP="00DC6C47">
            <w:pPr>
              <w:pStyle w:val="ListParagraph"/>
              <w:numPr>
                <w:ilvl w:val="0"/>
                <w:numId w:val="10"/>
              </w:numPr>
              <w:spacing w:line="276" w:lineRule="auto"/>
              <w:contextualSpacing w:val="0"/>
              <w:rPr>
                <w:i/>
                <w:szCs w:val="24"/>
                <w:lang w:val="en-IE"/>
              </w:rPr>
            </w:pPr>
            <w:r w:rsidRPr="0059550D">
              <w:rPr>
                <w:i/>
                <w:szCs w:val="24"/>
                <w:lang w:val="en-IE"/>
              </w:rPr>
              <w:t>Micro, small, or medium</w:t>
            </w:r>
          </w:p>
          <w:p w14:paraId="2B899470" w14:textId="77777777" w:rsidR="008B6DC8" w:rsidRPr="0059550D" w:rsidRDefault="008B6DC8" w:rsidP="00DC6C47">
            <w:pPr>
              <w:pStyle w:val="ListParagraph"/>
              <w:numPr>
                <w:ilvl w:val="1"/>
                <w:numId w:val="10"/>
              </w:numPr>
              <w:spacing w:line="276" w:lineRule="auto"/>
              <w:contextualSpacing w:val="0"/>
              <w:rPr>
                <w:i/>
                <w:szCs w:val="24"/>
                <w:lang w:val="en-IE"/>
              </w:rPr>
            </w:pPr>
            <w:r w:rsidRPr="0059550D">
              <w:rPr>
                <w:i/>
                <w:szCs w:val="24"/>
                <w:lang w:val="en-IE"/>
              </w:rPr>
              <w:t>Micro</w:t>
            </w:r>
          </w:p>
          <w:p w14:paraId="58105C8F" w14:textId="77777777" w:rsidR="008B6DC8" w:rsidRPr="0059550D" w:rsidRDefault="008B6DC8" w:rsidP="00DC6C47">
            <w:pPr>
              <w:pStyle w:val="ListParagraph"/>
              <w:numPr>
                <w:ilvl w:val="1"/>
                <w:numId w:val="10"/>
              </w:numPr>
              <w:spacing w:line="276" w:lineRule="auto"/>
              <w:contextualSpacing w:val="0"/>
              <w:rPr>
                <w:i/>
                <w:szCs w:val="24"/>
                <w:lang w:val="en-IE"/>
              </w:rPr>
            </w:pPr>
            <w:r w:rsidRPr="0059550D">
              <w:rPr>
                <w:i/>
                <w:szCs w:val="24"/>
                <w:lang w:val="en-IE"/>
              </w:rPr>
              <w:lastRenderedPageBreak/>
              <w:t>Small</w:t>
            </w:r>
          </w:p>
          <w:p w14:paraId="06BBCBEB" w14:textId="77777777" w:rsidR="008B6DC8" w:rsidRPr="0059550D" w:rsidRDefault="008B6DC8" w:rsidP="00DC6C47">
            <w:pPr>
              <w:pStyle w:val="ListParagraph"/>
              <w:numPr>
                <w:ilvl w:val="1"/>
                <w:numId w:val="10"/>
              </w:numPr>
              <w:spacing w:line="276" w:lineRule="auto"/>
              <w:contextualSpacing w:val="0"/>
              <w:rPr>
                <w:i/>
                <w:szCs w:val="24"/>
                <w:lang w:val="en-IE"/>
              </w:rPr>
            </w:pPr>
            <w:r w:rsidRPr="0059550D">
              <w:rPr>
                <w:i/>
                <w:szCs w:val="24"/>
                <w:lang w:val="en-IE"/>
              </w:rPr>
              <w:t>Medium</w:t>
            </w:r>
          </w:p>
          <w:p w14:paraId="6D8AB469" w14:textId="77777777" w:rsidR="008B6DC8" w:rsidRPr="0059550D" w:rsidRDefault="008B6DC8" w:rsidP="00DC6C47">
            <w:pPr>
              <w:pStyle w:val="ListParagraph"/>
              <w:numPr>
                <w:ilvl w:val="0"/>
                <w:numId w:val="10"/>
              </w:numPr>
              <w:spacing w:line="276" w:lineRule="auto"/>
              <w:contextualSpacing w:val="0"/>
              <w:rPr>
                <w:i/>
                <w:szCs w:val="24"/>
                <w:lang w:val="en-IE"/>
              </w:rPr>
            </w:pPr>
            <w:r w:rsidRPr="0059550D">
              <w:rPr>
                <w:i/>
                <w:szCs w:val="24"/>
                <w:lang w:val="en-IE"/>
              </w:rPr>
              <w:t xml:space="preserve">Large </w:t>
            </w:r>
          </w:p>
          <w:p w14:paraId="7D380944" w14:textId="77777777" w:rsidR="008B6DC8" w:rsidRPr="0059550D" w:rsidRDefault="008B6DC8" w:rsidP="008B6DC8">
            <w:pPr>
              <w:rPr>
                <w:szCs w:val="24"/>
                <w:lang w:val="en-IE"/>
              </w:rPr>
            </w:pPr>
          </w:p>
          <w:p w14:paraId="122083A3" w14:textId="77777777" w:rsidR="008B6DC8" w:rsidRPr="0059550D" w:rsidRDefault="008B6DC8" w:rsidP="008B6DC8">
            <w:pPr>
              <w:rPr>
                <w:i/>
                <w:szCs w:val="24"/>
                <w:lang w:val="en-IE"/>
              </w:rPr>
            </w:pPr>
          </w:p>
        </w:tc>
        <w:tc>
          <w:tcPr>
            <w:tcW w:w="1818" w:type="pct"/>
          </w:tcPr>
          <w:p w14:paraId="69C86FE9" w14:textId="77777777" w:rsidR="008B6DC8" w:rsidRPr="0059550D" w:rsidRDefault="008B6DC8" w:rsidP="008B6DC8">
            <w:pPr>
              <w:rPr>
                <w:szCs w:val="24"/>
                <w:lang w:val="en-IE"/>
              </w:rPr>
            </w:pPr>
            <w:r w:rsidRPr="0059550D">
              <w:rPr>
                <w:szCs w:val="24"/>
                <w:lang w:val="en-IE"/>
              </w:rPr>
              <w:lastRenderedPageBreak/>
              <w:t>This codelist allows three approaches to identifying the size of a winner:</w:t>
            </w:r>
          </w:p>
          <w:p w14:paraId="497A2160" w14:textId="77777777" w:rsidR="008B6DC8" w:rsidRPr="0059550D" w:rsidRDefault="008B6DC8" w:rsidP="00DC6C47">
            <w:pPr>
              <w:pStyle w:val="ListParagraph"/>
              <w:numPr>
                <w:ilvl w:val="0"/>
                <w:numId w:val="21"/>
              </w:numPr>
              <w:rPr>
                <w:szCs w:val="24"/>
                <w:lang w:val="en-IE"/>
              </w:rPr>
            </w:pPr>
            <w:r w:rsidRPr="0059550D">
              <w:rPr>
                <w:szCs w:val="24"/>
                <w:lang w:val="en-IE"/>
              </w:rPr>
              <w:t xml:space="preserve">Allowing only detailed information to be submitted: “micro”, “small”, “medium” or “large”. </w:t>
            </w:r>
          </w:p>
          <w:p w14:paraId="6D5F30A5" w14:textId="77777777" w:rsidR="008B6DC8" w:rsidRPr="0059550D" w:rsidRDefault="008B6DC8" w:rsidP="00DC6C47">
            <w:pPr>
              <w:pStyle w:val="ListParagraph"/>
              <w:numPr>
                <w:ilvl w:val="0"/>
                <w:numId w:val="21"/>
              </w:numPr>
              <w:rPr>
                <w:szCs w:val="24"/>
                <w:lang w:val="en-IE"/>
              </w:rPr>
            </w:pPr>
            <w:r w:rsidRPr="0059550D">
              <w:rPr>
                <w:szCs w:val="24"/>
                <w:lang w:val="en-IE"/>
              </w:rPr>
              <w:lastRenderedPageBreak/>
              <w:t xml:space="preserve">Allowing only general information to be submitted: “Micro, small, or medium” or “Large”. </w:t>
            </w:r>
          </w:p>
          <w:p w14:paraId="77DA22CC" w14:textId="77777777" w:rsidR="008B6DC8" w:rsidRPr="0059550D" w:rsidRDefault="008B6DC8" w:rsidP="00DC6C47">
            <w:pPr>
              <w:pStyle w:val="ListParagraph"/>
              <w:numPr>
                <w:ilvl w:val="0"/>
                <w:numId w:val="21"/>
              </w:numPr>
              <w:rPr>
                <w:szCs w:val="24"/>
                <w:lang w:val="en-IE"/>
              </w:rPr>
            </w:pPr>
            <w:r w:rsidRPr="0059550D">
              <w:rPr>
                <w:szCs w:val="24"/>
                <w:lang w:val="en-IE"/>
              </w:rPr>
              <w:t>Allowing the buyer to choose between the detailed and the general, depending on the information he has.</w:t>
            </w:r>
          </w:p>
          <w:p w14:paraId="0675EBDE" w14:textId="77777777" w:rsidR="008B6DC8" w:rsidRPr="0059550D" w:rsidRDefault="008B6DC8" w:rsidP="008B6DC8">
            <w:pPr>
              <w:rPr>
                <w:szCs w:val="24"/>
                <w:lang w:val="en-IE"/>
              </w:rPr>
            </w:pPr>
          </w:p>
          <w:p w14:paraId="74E64B95" w14:textId="77777777" w:rsidR="008B6DC8" w:rsidRPr="0059550D" w:rsidRDefault="008B6DC8" w:rsidP="008B6DC8">
            <w:pPr>
              <w:rPr>
                <w:szCs w:val="24"/>
                <w:lang w:val="en-IE"/>
              </w:rPr>
            </w:pPr>
            <w:r w:rsidRPr="0059550D">
              <w:rPr>
                <w:szCs w:val="24"/>
                <w:lang w:val="en-IE"/>
              </w:rPr>
              <w:t xml:space="preserve">More detailed Information allow catering to the needs of the different types of SMEs. This is particularly important as the general SME category is very broad – covering companies with </w:t>
            </w:r>
          </w:p>
          <w:p w14:paraId="41EE8C37" w14:textId="77777777" w:rsidR="008B6DC8" w:rsidRPr="0059550D" w:rsidRDefault="008B6DC8" w:rsidP="008B6DC8">
            <w:pPr>
              <w:rPr>
                <w:szCs w:val="24"/>
                <w:lang w:val="en-IE"/>
              </w:rPr>
            </w:pPr>
            <w:r w:rsidRPr="0059550D">
              <w:rPr>
                <w:szCs w:val="24"/>
                <w:lang w:val="en-IE"/>
              </w:rPr>
              <w:t>5 employees as well as companies with 205 employees.</w:t>
            </w:r>
          </w:p>
          <w:p w14:paraId="7785E1D5" w14:textId="77777777" w:rsidR="008B6DC8" w:rsidRPr="0059550D" w:rsidRDefault="008B6DC8" w:rsidP="008B6DC8">
            <w:pPr>
              <w:rPr>
                <w:szCs w:val="24"/>
                <w:lang w:val="en-IE"/>
              </w:rPr>
            </w:pPr>
            <w:r w:rsidRPr="0059550D">
              <w:rPr>
                <w:szCs w:val="24"/>
                <w:lang w:val="en-IE"/>
              </w:rPr>
              <w:t xml:space="preserve"> </w:t>
            </w:r>
          </w:p>
          <w:p w14:paraId="0466BAC4" w14:textId="6635AFFF" w:rsidR="008B6DC8" w:rsidRPr="0059550D" w:rsidRDefault="008B6DC8" w:rsidP="008B6DC8">
            <w:pPr>
              <w:rPr>
                <w:szCs w:val="24"/>
                <w:lang w:val="en-IE"/>
              </w:rPr>
            </w:pPr>
            <w:r w:rsidRPr="0059550D">
              <w:rPr>
                <w:szCs w:val="24"/>
                <w:lang w:val="en-IE"/>
              </w:rPr>
              <w:t>The costs of submitting this information depend on national eTendering systems. If they are integrated with business registries (or an appropriate ESPD-service), then they can be prefilled automatically. Otherwise, they need to be requested as part of the tender and then written by the buyer into the notice.</w:t>
            </w:r>
          </w:p>
        </w:tc>
      </w:tr>
      <w:tr w:rsidR="008D56E8" w:rsidRPr="0059550D" w14:paraId="51453C48" w14:textId="77777777" w:rsidTr="00651044">
        <w:tc>
          <w:tcPr>
            <w:tcW w:w="483" w:type="pct"/>
            <w:shd w:val="clear" w:color="auto" w:fill="8DB3E2" w:themeFill="text2" w:themeFillTint="66"/>
          </w:tcPr>
          <w:p w14:paraId="3C49E947" w14:textId="05094699" w:rsidR="008D56E8" w:rsidRPr="0059550D" w:rsidRDefault="008D56E8" w:rsidP="008B6DC8">
            <w:pPr>
              <w:pStyle w:val="NoSpacing"/>
              <w:rPr>
                <w:i/>
                <w:szCs w:val="24"/>
                <w:lang w:val="en-IE"/>
              </w:rPr>
            </w:pPr>
            <w:r w:rsidRPr="0059550D">
              <w:rPr>
                <w:i/>
                <w:szCs w:val="24"/>
                <w:lang w:val="en-IE"/>
              </w:rPr>
              <w:lastRenderedPageBreak/>
              <w:t xml:space="preserve">Classification Type </w:t>
            </w:r>
            <w:r w:rsidRPr="0059550D">
              <w:rPr>
                <w:i/>
                <w:szCs w:val="24"/>
                <w:lang w:val="en-IE"/>
              </w:rPr>
              <w:br/>
              <w:t>(BT-26)</w:t>
            </w:r>
          </w:p>
        </w:tc>
        <w:tc>
          <w:tcPr>
            <w:tcW w:w="2699" w:type="pct"/>
            <w:shd w:val="clear" w:color="auto" w:fill="8DB3E2" w:themeFill="text2" w:themeFillTint="66"/>
          </w:tcPr>
          <w:p w14:paraId="7A872553" w14:textId="3DE587AE" w:rsidR="008D56E8" w:rsidRPr="0059550D" w:rsidRDefault="008D56E8" w:rsidP="00DC6C47">
            <w:pPr>
              <w:pStyle w:val="ListParagraph"/>
              <w:numPr>
                <w:ilvl w:val="0"/>
                <w:numId w:val="34"/>
              </w:numPr>
              <w:rPr>
                <w:i/>
                <w:szCs w:val="24"/>
                <w:lang w:val="en-IE"/>
              </w:rPr>
            </w:pPr>
            <w:r w:rsidRPr="0059550D">
              <w:rPr>
                <w:i/>
                <w:szCs w:val="24"/>
                <w:lang w:val="en-IE"/>
              </w:rPr>
              <w:t>CPV</w:t>
            </w:r>
          </w:p>
        </w:tc>
        <w:tc>
          <w:tcPr>
            <w:tcW w:w="1818" w:type="pct"/>
          </w:tcPr>
          <w:p w14:paraId="0FE4631D" w14:textId="4A8B3D64" w:rsidR="008D56E8" w:rsidRPr="0059550D" w:rsidRDefault="008775C2" w:rsidP="008B6DC8">
            <w:pPr>
              <w:rPr>
                <w:szCs w:val="24"/>
                <w:lang w:val="en-IE"/>
              </w:rPr>
            </w:pPr>
            <w:r w:rsidRPr="0059550D">
              <w:rPr>
                <w:szCs w:val="24"/>
                <w:lang w:val="en-IE"/>
              </w:rPr>
              <w:t xml:space="preserve">This codelist currently contains only one classification, the common procurement vocabulary. </w:t>
            </w:r>
          </w:p>
          <w:p w14:paraId="5ABF0CBA" w14:textId="6656C02B" w:rsidR="008775C2" w:rsidRPr="0059550D" w:rsidRDefault="008775C2" w:rsidP="008B6DC8">
            <w:pPr>
              <w:rPr>
                <w:szCs w:val="24"/>
                <w:lang w:val="en-IE"/>
              </w:rPr>
            </w:pPr>
          </w:p>
          <w:p w14:paraId="2DAFEDDE" w14:textId="1AD86056" w:rsidR="008775C2" w:rsidRPr="0059550D" w:rsidRDefault="008775C2" w:rsidP="008775C2">
            <w:pPr>
              <w:rPr>
                <w:szCs w:val="24"/>
                <w:lang w:val="en-IE"/>
              </w:rPr>
            </w:pPr>
            <w:r w:rsidRPr="00B275F4">
              <w:rPr>
                <w:szCs w:val="24"/>
                <w:lang w:val="en-IE"/>
              </w:rPr>
              <w:t>The Publications Office wil</w:t>
            </w:r>
            <w:r w:rsidRPr="00993BC5">
              <w:rPr>
                <w:szCs w:val="24"/>
                <w:lang w:val="en-IE"/>
              </w:rPr>
              <w:t>l add classifications to the codelist based on requests from users</w:t>
            </w:r>
            <w:r w:rsidR="00993BC5">
              <w:rPr>
                <w:szCs w:val="24"/>
                <w:lang w:val="en-IE"/>
              </w:rPr>
              <w:t xml:space="preserve"> (based on the processes defined in the eForms governance model)</w:t>
            </w:r>
            <w:r w:rsidRPr="00993BC5">
              <w:rPr>
                <w:szCs w:val="24"/>
                <w:lang w:val="en-IE"/>
              </w:rPr>
              <w:t xml:space="preserve">. Examples of classifications that could be used include the World Health Organisation's anatomical therapeutic chemical (ATC) classification for pharmaceuticals; the medical devices nomenclature under the Regulation (EU) 2017/745); or classifications used outside of the EU (e.g. the United Nations </w:t>
            </w:r>
            <w:r w:rsidRPr="00993BC5">
              <w:rPr>
                <w:szCs w:val="24"/>
                <w:lang w:val="en-IE"/>
              </w:rPr>
              <w:lastRenderedPageBreak/>
              <w:t>Standard Products and Services Code (UNSPSC</w:t>
            </w:r>
            <w:r w:rsidR="00F00A6D">
              <w:rPr>
                <w:szCs w:val="24"/>
                <w:lang w:val="en-IE"/>
              </w:rPr>
              <w:t>)</w:t>
            </w:r>
          </w:p>
        </w:tc>
      </w:tr>
      <w:tr w:rsidR="00163057" w:rsidRPr="0059550D" w14:paraId="4F28577D" w14:textId="77777777" w:rsidTr="00651044">
        <w:tc>
          <w:tcPr>
            <w:tcW w:w="483" w:type="pct"/>
            <w:shd w:val="clear" w:color="auto" w:fill="8DB3E2" w:themeFill="text2" w:themeFillTint="66"/>
          </w:tcPr>
          <w:p w14:paraId="47080AA6" w14:textId="60DC699C" w:rsidR="00163057" w:rsidRPr="0059550D" w:rsidRDefault="00163057" w:rsidP="00163057">
            <w:pPr>
              <w:pStyle w:val="NoSpacing"/>
              <w:rPr>
                <w:i/>
                <w:szCs w:val="24"/>
                <w:lang w:val="en-IE"/>
              </w:rPr>
            </w:pPr>
            <w:r w:rsidRPr="0059550D">
              <w:rPr>
                <w:i/>
                <w:szCs w:val="24"/>
                <w:lang w:val="en-IE"/>
              </w:rPr>
              <w:lastRenderedPageBreak/>
              <w:t>Direct Award Justification Code</w:t>
            </w:r>
            <w:r w:rsidRPr="0059550D">
              <w:rPr>
                <w:i/>
                <w:szCs w:val="24"/>
                <w:lang w:val="en-IE"/>
              </w:rPr>
              <w:br/>
              <w:t>(BT-136)</w:t>
            </w:r>
          </w:p>
        </w:tc>
        <w:tc>
          <w:tcPr>
            <w:tcW w:w="2699" w:type="pct"/>
            <w:shd w:val="clear" w:color="auto" w:fill="8DB3E2" w:themeFill="text2" w:themeFillTint="66"/>
          </w:tcPr>
          <w:p w14:paraId="5784B346" w14:textId="77777777" w:rsidR="00163057" w:rsidRPr="0059550D" w:rsidRDefault="00163057" w:rsidP="008B6DC8">
            <w:pPr>
              <w:rPr>
                <w:i/>
                <w:szCs w:val="24"/>
                <w:lang w:val="en-IE"/>
              </w:rPr>
            </w:pPr>
          </w:p>
          <w:p w14:paraId="22EFAE16" w14:textId="77777777" w:rsidR="00895E0F" w:rsidRDefault="00895E0F" w:rsidP="00895E0F">
            <w:pPr>
              <w:pStyle w:val="NormalWeb"/>
              <w:spacing w:before="0" w:beforeAutospacing="0" w:after="0" w:afterAutospacing="0"/>
              <w:textAlignment w:val="baseline"/>
              <w:rPr>
                <w:rFonts w:asciiTheme="minorHAnsi" w:eastAsiaTheme="minorHAnsi" w:hAnsiTheme="minorHAnsi" w:cstheme="minorBidi"/>
                <w:sz w:val="22"/>
                <w:lang w:val="en-IE"/>
              </w:rPr>
            </w:pPr>
            <w:r>
              <w:rPr>
                <w:rFonts w:asciiTheme="minorHAnsi" w:eastAsiaTheme="minorHAnsi" w:hAnsiTheme="minorHAnsi" w:cstheme="minorBidi"/>
                <w:sz w:val="22"/>
                <w:lang w:val="en-IE"/>
              </w:rPr>
              <w:t xml:space="preserve">Please find below examples of Direct Award justifications (the full list is available in the related codelist): </w:t>
            </w:r>
          </w:p>
          <w:p w14:paraId="5FF647D3" w14:textId="77777777" w:rsidR="00895E0F" w:rsidRPr="00B2559B" w:rsidRDefault="00895E0F" w:rsidP="00895E0F">
            <w:pPr>
              <w:pStyle w:val="NormalWeb"/>
              <w:spacing w:before="0" w:beforeAutospacing="0" w:after="0" w:afterAutospacing="0"/>
              <w:textAlignment w:val="baseline"/>
              <w:rPr>
                <w:rFonts w:asciiTheme="minorHAnsi" w:eastAsiaTheme="minorHAnsi" w:hAnsiTheme="minorHAnsi" w:cstheme="minorBidi"/>
                <w:sz w:val="22"/>
                <w:lang w:val="en-IE"/>
              </w:rPr>
            </w:pPr>
          </w:p>
          <w:p w14:paraId="062E4E96" w14:textId="77777777" w:rsidR="00895E0F" w:rsidRPr="0059550D" w:rsidRDefault="00895E0F" w:rsidP="00895E0F">
            <w:pPr>
              <w:pStyle w:val="NormalWeb"/>
              <w:numPr>
                <w:ilvl w:val="0"/>
                <w:numId w:val="34"/>
              </w:numPr>
              <w:spacing w:before="0" w:beforeAutospacing="0" w:after="0" w:afterAutospacing="0"/>
              <w:textAlignment w:val="baseline"/>
              <w:rPr>
                <w:rFonts w:asciiTheme="minorHAnsi" w:eastAsiaTheme="minorHAnsi" w:hAnsiTheme="minorHAnsi" w:cstheme="minorBidi"/>
                <w:i/>
                <w:sz w:val="22"/>
                <w:lang w:val="en-IE"/>
              </w:rPr>
            </w:pPr>
            <w:r w:rsidRPr="0059550D">
              <w:rPr>
                <w:rFonts w:asciiTheme="minorHAnsi" w:eastAsiaTheme="minorHAnsi" w:hAnsiTheme="minorHAnsi" w:cstheme="minorBidi"/>
                <w:i/>
                <w:sz w:val="22"/>
                <w:lang w:val="en-IE"/>
              </w:rPr>
              <w:t>The contract falls within the services listed in Annex II of the Directive 2009/81/EC.</w:t>
            </w:r>
          </w:p>
          <w:p w14:paraId="3989774E" w14:textId="77777777" w:rsidR="00895E0F" w:rsidRPr="0059550D" w:rsidRDefault="00895E0F" w:rsidP="00895E0F">
            <w:pPr>
              <w:pStyle w:val="NormalWeb"/>
              <w:numPr>
                <w:ilvl w:val="0"/>
                <w:numId w:val="34"/>
              </w:numPr>
              <w:spacing w:before="0" w:beforeAutospacing="0" w:after="0" w:afterAutospacing="0"/>
              <w:textAlignment w:val="baseline"/>
              <w:rPr>
                <w:rFonts w:asciiTheme="minorHAnsi" w:eastAsiaTheme="minorHAnsi" w:hAnsiTheme="minorHAnsi" w:cstheme="minorBidi"/>
                <w:i/>
                <w:sz w:val="22"/>
                <w:lang w:val="en-IE"/>
              </w:rPr>
            </w:pPr>
            <w:r w:rsidRPr="0059550D">
              <w:rPr>
                <w:rFonts w:asciiTheme="minorHAnsi" w:eastAsiaTheme="minorHAnsi" w:hAnsiTheme="minorHAnsi" w:cstheme="minorBidi"/>
                <w:i/>
                <w:sz w:val="22"/>
                <w:lang w:val="en-IE"/>
              </w:rPr>
              <w:t>No suitable tenders, requests to participate, or applications were received in response to a previous notice.</w:t>
            </w:r>
          </w:p>
          <w:p w14:paraId="69B2C89F" w14:textId="77777777" w:rsidR="00895E0F" w:rsidRDefault="00895E0F" w:rsidP="00895E0F">
            <w:pPr>
              <w:pStyle w:val="NormalWeb"/>
              <w:numPr>
                <w:ilvl w:val="0"/>
                <w:numId w:val="34"/>
              </w:numPr>
              <w:spacing w:before="0" w:beforeAutospacing="0" w:after="0" w:afterAutospacing="0"/>
              <w:textAlignment w:val="baseline"/>
              <w:rPr>
                <w:rFonts w:asciiTheme="minorHAnsi" w:eastAsiaTheme="minorHAnsi" w:hAnsiTheme="minorHAnsi" w:cstheme="minorBidi"/>
                <w:i/>
                <w:sz w:val="22"/>
                <w:lang w:val="en-IE"/>
              </w:rPr>
            </w:pPr>
            <w:r w:rsidRPr="0059550D">
              <w:rPr>
                <w:rFonts w:asciiTheme="minorHAnsi" w:eastAsiaTheme="minorHAnsi" w:hAnsiTheme="minorHAnsi" w:cstheme="minorBidi"/>
                <w:i/>
                <w:sz w:val="22"/>
                <w:lang w:val="en-IE"/>
              </w:rPr>
              <w:t>No regular tenders, requests to participate, or applications acceptable under national provisions were received in response to a previous notice. Only those tenderers were included in the negotiations which have satisfied the selection criteria in the previous procedure.</w:t>
            </w:r>
          </w:p>
          <w:p w14:paraId="1A8D613E" w14:textId="6664A73B" w:rsidR="003850AE" w:rsidRPr="0059550D" w:rsidRDefault="00895E0F" w:rsidP="00CD12E5">
            <w:pPr>
              <w:pStyle w:val="NormalWeb"/>
              <w:numPr>
                <w:ilvl w:val="0"/>
                <w:numId w:val="34"/>
              </w:numPr>
              <w:spacing w:before="0" w:beforeAutospacing="0" w:after="0" w:afterAutospacing="0"/>
              <w:textAlignment w:val="baseline"/>
              <w:rPr>
                <w:rFonts w:asciiTheme="minorHAnsi" w:eastAsiaTheme="minorHAnsi" w:hAnsiTheme="minorHAnsi" w:cstheme="minorBidi"/>
                <w:i/>
                <w:sz w:val="22"/>
                <w:lang w:val="en-IE"/>
              </w:rPr>
            </w:pPr>
            <w:r w:rsidRPr="00B2559B">
              <w:rPr>
                <w:rFonts w:asciiTheme="minorHAnsi" w:eastAsiaTheme="minorHAnsi" w:hAnsiTheme="minorHAnsi" w:cstheme="minorBidi"/>
                <w:i/>
                <w:sz w:val="22"/>
                <w:lang w:val="en-IE"/>
              </w:rPr>
              <w:t>Purpose of the contract is purely research, experiment, study or development under the conditions stated in the Directive .</w:t>
            </w:r>
          </w:p>
        </w:tc>
        <w:tc>
          <w:tcPr>
            <w:tcW w:w="1818" w:type="pct"/>
          </w:tcPr>
          <w:p w14:paraId="6DFE7151" w14:textId="3FE153C5" w:rsidR="00521965" w:rsidRPr="0059550D" w:rsidRDefault="00521965" w:rsidP="00521965">
            <w:pPr>
              <w:rPr>
                <w:szCs w:val="24"/>
                <w:lang w:val="en-IE"/>
              </w:rPr>
            </w:pPr>
            <w:r w:rsidRPr="0059550D">
              <w:rPr>
                <w:szCs w:val="24"/>
                <w:lang w:val="en-IE"/>
              </w:rPr>
              <w:t>This codelist is used in two distinct situations. First, it is used in Result and Direct award prenotification forms</w:t>
            </w:r>
            <w:r w:rsidR="00DF77D4" w:rsidRPr="0059550D">
              <w:rPr>
                <w:szCs w:val="24"/>
                <w:lang w:val="en-IE"/>
              </w:rPr>
              <w:t xml:space="preserve"> (ex-ante voluntary transparency notices) </w:t>
            </w:r>
            <w:r w:rsidRPr="0059550D">
              <w:rPr>
                <w:szCs w:val="24"/>
                <w:lang w:val="en-IE"/>
              </w:rPr>
              <w:t xml:space="preserve">in cases of negotiated procedures without prior publication of a call of competition (regardless of whether these are with single or multiple </w:t>
            </w:r>
            <w:r w:rsidR="00706C6A">
              <w:rPr>
                <w:szCs w:val="24"/>
                <w:lang w:val="en-IE"/>
              </w:rPr>
              <w:t>tenderers</w:t>
            </w:r>
            <w:r w:rsidRPr="0059550D">
              <w:rPr>
                <w:szCs w:val="24"/>
                <w:lang w:val="en-IE"/>
              </w:rPr>
              <w:t xml:space="preserve">). </w:t>
            </w:r>
          </w:p>
          <w:p w14:paraId="427AB73D" w14:textId="77777777" w:rsidR="00521965" w:rsidRPr="0059550D" w:rsidRDefault="00521965" w:rsidP="00521965">
            <w:pPr>
              <w:rPr>
                <w:szCs w:val="24"/>
                <w:lang w:val="en-IE"/>
              </w:rPr>
            </w:pPr>
          </w:p>
          <w:p w14:paraId="3CD84052" w14:textId="79F47FB5" w:rsidR="00521965" w:rsidRPr="0059550D" w:rsidRDefault="00521965" w:rsidP="00950286">
            <w:pPr>
              <w:rPr>
                <w:szCs w:val="24"/>
                <w:lang w:val="en-IE"/>
              </w:rPr>
            </w:pPr>
            <w:r w:rsidRPr="0059550D">
              <w:rPr>
                <w:szCs w:val="24"/>
                <w:lang w:val="en-IE"/>
              </w:rPr>
              <w:t xml:space="preserve">Second, in some EU countries, it may be used in </w:t>
            </w:r>
            <w:r w:rsidR="00DF77D4" w:rsidRPr="0059550D">
              <w:rPr>
                <w:szCs w:val="24"/>
                <w:lang w:val="en-IE"/>
              </w:rPr>
              <w:t>the d</w:t>
            </w:r>
            <w:r w:rsidRPr="0059550D">
              <w:rPr>
                <w:szCs w:val="24"/>
                <w:lang w:val="en-IE"/>
              </w:rPr>
              <w:t xml:space="preserve">irect award prenotification form </w:t>
            </w:r>
            <w:r w:rsidR="00DF77D4" w:rsidRPr="0059550D">
              <w:rPr>
                <w:szCs w:val="24"/>
                <w:lang w:val="en-IE"/>
              </w:rPr>
              <w:t xml:space="preserve">in case of contracts where the buyer believes to be outside the Directives’ scope, but wishes to publish the prenotification form for the sake of additional transparency towards the market. In case of countries where the prenotification form is never used for this purpose, the codelist can be </w:t>
            </w:r>
            <w:r w:rsidR="00B30C06" w:rsidRPr="0059550D">
              <w:rPr>
                <w:szCs w:val="24"/>
                <w:lang w:val="en-IE"/>
              </w:rPr>
              <w:t>tailored by removing its second half (</w:t>
            </w:r>
            <w:r w:rsidR="00B30C06" w:rsidRPr="0059550D">
              <w:rPr>
                <w:i/>
                <w:lang w:val="en-IE"/>
              </w:rPr>
              <w:t xml:space="preserve">“Contracts with estimated value below the procurement thresholds” </w:t>
            </w:r>
            <w:r w:rsidR="00B30C06" w:rsidRPr="0059550D">
              <w:rPr>
                <w:lang w:val="en-IE"/>
              </w:rPr>
              <w:t>and onwards</w:t>
            </w:r>
            <w:r w:rsidR="00B30C06" w:rsidRPr="0059550D">
              <w:rPr>
                <w:i/>
                <w:lang w:val="en-IE"/>
              </w:rPr>
              <w:t>).</w:t>
            </w:r>
          </w:p>
        </w:tc>
      </w:tr>
      <w:tr w:rsidR="000D0B77" w:rsidRPr="0059550D" w14:paraId="732912EA" w14:textId="77777777" w:rsidTr="00651044">
        <w:tc>
          <w:tcPr>
            <w:tcW w:w="483" w:type="pct"/>
            <w:shd w:val="clear" w:color="auto" w:fill="8DB3E2" w:themeFill="text2" w:themeFillTint="66"/>
          </w:tcPr>
          <w:p w14:paraId="6D2862A0" w14:textId="01F311F9" w:rsidR="000D0B77" w:rsidRPr="0059550D" w:rsidRDefault="000D0B77" w:rsidP="008B6DC8">
            <w:pPr>
              <w:pStyle w:val="NoSpacing"/>
              <w:rPr>
                <w:i/>
                <w:szCs w:val="24"/>
                <w:lang w:val="en-IE"/>
              </w:rPr>
            </w:pPr>
            <w:r w:rsidRPr="0059550D">
              <w:rPr>
                <w:i/>
                <w:szCs w:val="24"/>
                <w:lang w:val="en-IE"/>
              </w:rPr>
              <w:t>Award Criterion Number Weight</w:t>
            </w:r>
            <w:r w:rsidRPr="0059550D">
              <w:rPr>
                <w:i/>
                <w:szCs w:val="24"/>
                <w:lang w:val="en-IE"/>
              </w:rPr>
              <w:br/>
              <w:t>(BT-5421)</w:t>
            </w:r>
          </w:p>
        </w:tc>
        <w:tc>
          <w:tcPr>
            <w:tcW w:w="2699" w:type="pct"/>
            <w:shd w:val="clear" w:color="auto" w:fill="8DB3E2" w:themeFill="text2" w:themeFillTint="66"/>
          </w:tcPr>
          <w:p w14:paraId="5C102E82" w14:textId="77777777" w:rsidR="000D0B77" w:rsidRPr="0059550D" w:rsidRDefault="000D0B77" w:rsidP="00DC6C47">
            <w:pPr>
              <w:pStyle w:val="ListParagraph"/>
              <w:numPr>
                <w:ilvl w:val="0"/>
                <w:numId w:val="10"/>
              </w:numPr>
              <w:spacing w:line="276" w:lineRule="auto"/>
              <w:contextualSpacing w:val="0"/>
              <w:rPr>
                <w:i/>
                <w:szCs w:val="24"/>
                <w:lang w:val="en-IE"/>
              </w:rPr>
            </w:pPr>
            <w:r w:rsidRPr="0059550D">
              <w:rPr>
                <w:i/>
                <w:szCs w:val="24"/>
                <w:lang w:val="en-IE"/>
              </w:rPr>
              <w:t>Weight (percentage, exact)</w:t>
            </w:r>
          </w:p>
          <w:p w14:paraId="73D5187A" w14:textId="77777777" w:rsidR="000D0B77" w:rsidRPr="0059550D" w:rsidRDefault="000D0B77" w:rsidP="00DC6C47">
            <w:pPr>
              <w:pStyle w:val="ListParagraph"/>
              <w:numPr>
                <w:ilvl w:val="0"/>
                <w:numId w:val="10"/>
              </w:numPr>
              <w:spacing w:line="276" w:lineRule="auto"/>
              <w:contextualSpacing w:val="0"/>
              <w:rPr>
                <w:i/>
                <w:szCs w:val="24"/>
                <w:lang w:val="en-IE"/>
              </w:rPr>
            </w:pPr>
            <w:r w:rsidRPr="0059550D">
              <w:rPr>
                <w:i/>
                <w:szCs w:val="24"/>
                <w:lang w:val="en-IE"/>
              </w:rPr>
              <w:t>Weight (percentage, middle of a range)</w:t>
            </w:r>
          </w:p>
          <w:p w14:paraId="5118FCB3" w14:textId="77777777" w:rsidR="000D0B77" w:rsidRPr="0059550D" w:rsidRDefault="000D0B77" w:rsidP="00DC6C47">
            <w:pPr>
              <w:pStyle w:val="ListParagraph"/>
              <w:numPr>
                <w:ilvl w:val="0"/>
                <w:numId w:val="10"/>
              </w:numPr>
              <w:spacing w:line="276" w:lineRule="auto"/>
              <w:contextualSpacing w:val="0"/>
              <w:rPr>
                <w:i/>
                <w:szCs w:val="24"/>
                <w:lang w:val="en-IE"/>
              </w:rPr>
            </w:pPr>
            <w:r w:rsidRPr="0059550D">
              <w:rPr>
                <w:i/>
                <w:szCs w:val="24"/>
                <w:lang w:val="en-IE"/>
              </w:rPr>
              <w:t>Weight (decimal, exact)</w:t>
            </w:r>
          </w:p>
          <w:p w14:paraId="46A34CF2" w14:textId="77777777" w:rsidR="000D0B77" w:rsidRPr="0059550D" w:rsidRDefault="000D0B77" w:rsidP="00DC6C47">
            <w:pPr>
              <w:pStyle w:val="ListParagraph"/>
              <w:numPr>
                <w:ilvl w:val="0"/>
                <w:numId w:val="10"/>
              </w:numPr>
              <w:spacing w:line="276" w:lineRule="auto"/>
              <w:contextualSpacing w:val="0"/>
              <w:rPr>
                <w:i/>
                <w:szCs w:val="24"/>
                <w:lang w:val="en-IE"/>
              </w:rPr>
            </w:pPr>
            <w:r w:rsidRPr="0059550D">
              <w:rPr>
                <w:i/>
                <w:szCs w:val="24"/>
                <w:lang w:val="en-IE"/>
              </w:rPr>
              <w:t>Weight (decimal, middle of a range)</w:t>
            </w:r>
          </w:p>
          <w:p w14:paraId="01CBCBAA" w14:textId="77777777" w:rsidR="000D0B77" w:rsidRPr="0059550D" w:rsidRDefault="000D0B77" w:rsidP="00DC6C47">
            <w:pPr>
              <w:pStyle w:val="ListParagraph"/>
              <w:numPr>
                <w:ilvl w:val="0"/>
                <w:numId w:val="10"/>
              </w:numPr>
              <w:spacing w:line="276" w:lineRule="auto"/>
              <w:contextualSpacing w:val="0"/>
              <w:rPr>
                <w:i/>
                <w:szCs w:val="24"/>
                <w:lang w:val="en-IE"/>
              </w:rPr>
            </w:pPr>
            <w:r w:rsidRPr="0059550D">
              <w:rPr>
                <w:i/>
                <w:szCs w:val="24"/>
                <w:lang w:val="en-IE"/>
              </w:rPr>
              <w:t>Weight (points, exact)</w:t>
            </w:r>
          </w:p>
          <w:p w14:paraId="0250F3E1" w14:textId="77777777" w:rsidR="000D0B77" w:rsidRPr="0059550D" w:rsidRDefault="000D0B77" w:rsidP="00DC6C47">
            <w:pPr>
              <w:pStyle w:val="ListParagraph"/>
              <w:numPr>
                <w:ilvl w:val="0"/>
                <w:numId w:val="10"/>
              </w:numPr>
              <w:spacing w:line="276" w:lineRule="auto"/>
              <w:contextualSpacing w:val="0"/>
              <w:rPr>
                <w:i/>
                <w:szCs w:val="24"/>
                <w:lang w:val="en-IE"/>
              </w:rPr>
            </w:pPr>
            <w:r w:rsidRPr="0059550D">
              <w:rPr>
                <w:i/>
                <w:szCs w:val="24"/>
                <w:lang w:val="en-IE"/>
              </w:rPr>
              <w:t>Weight (points, middle of a range)</w:t>
            </w:r>
          </w:p>
          <w:p w14:paraId="415C942D" w14:textId="76A8BE47" w:rsidR="000D0B77" w:rsidRPr="0059550D" w:rsidRDefault="000D0B77" w:rsidP="00DC6C47">
            <w:pPr>
              <w:pStyle w:val="ListParagraph"/>
              <w:numPr>
                <w:ilvl w:val="0"/>
                <w:numId w:val="10"/>
              </w:numPr>
              <w:spacing w:line="276" w:lineRule="auto"/>
              <w:contextualSpacing w:val="0"/>
              <w:rPr>
                <w:i/>
                <w:szCs w:val="24"/>
                <w:lang w:val="en-IE"/>
              </w:rPr>
            </w:pPr>
            <w:r w:rsidRPr="0059550D">
              <w:rPr>
                <w:i/>
                <w:szCs w:val="24"/>
                <w:lang w:val="en-IE"/>
              </w:rPr>
              <w:t>Order of importance</w:t>
            </w:r>
          </w:p>
        </w:tc>
        <w:tc>
          <w:tcPr>
            <w:tcW w:w="1818" w:type="pct"/>
          </w:tcPr>
          <w:p w14:paraId="30B5A660" w14:textId="3E7068B6" w:rsidR="00DD3B96" w:rsidRPr="0059550D" w:rsidRDefault="00DD3B96" w:rsidP="00DD3B96">
            <w:pPr>
              <w:rPr>
                <w:szCs w:val="24"/>
                <w:lang w:val="en-IE"/>
              </w:rPr>
            </w:pPr>
            <w:r w:rsidRPr="0059550D">
              <w:rPr>
                <w:szCs w:val="24"/>
                <w:lang w:val="en-IE"/>
              </w:rPr>
              <w:t>This codelist allows specifying the</w:t>
            </w:r>
            <w:r w:rsidR="00035154">
              <w:rPr>
                <w:szCs w:val="24"/>
                <w:lang w:val="en-IE"/>
              </w:rPr>
              <w:t xml:space="preserve"> criterion</w:t>
            </w:r>
            <w:r w:rsidR="00647FB0">
              <w:rPr>
                <w:szCs w:val="24"/>
                <w:lang w:val="en-IE"/>
              </w:rPr>
              <w:t xml:space="preserve"> </w:t>
            </w:r>
            <w:r w:rsidRPr="0059550D">
              <w:rPr>
                <w:szCs w:val="24"/>
                <w:lang w:val="en-IE"/>
              </w:rPr>
              <w:t>used for weighing award criteria.</w:t>
            </w:r>
            <w:r w:rsidR="005A76D1" w:rsidRPr="0059550D">
              <w:rPr>
                <w:szCs w:val="24"/>
                <w:lang w:val="en-IE"/>
              </w:rPr>
              <w:t xml:space="preserve"> </w:t>
            </w:r>
            <w:r w:rsidRPr="0059550D">
              <w:rPr>
                <w:szCs w:val="24"/>
                <w:lang w:val="en-IE"/>
              </w:rPr>
              <w:t xml:space="preserve">Additionally, it allows specifying two infrequently used approaches acceptable according to the Directives. </w:t>
            </w:r>
          </w:p>
          <w:p w14:paraId="092998C3" w14:textId="77777777" w:rsidR="003364F2" w:rsidRPr="0059550D" w:rsidRDefault="003364F2" w:rsidP="00DD3B96">
            <w:pPr>
              <w:rPr>
                <w:szCs w:val="24"/>
                <w:lang w:val="en-IE"/>
              </w:rPr>
            </w:pPr>
          </w:p>
          <w:p w14:paraId="4A34D85C" w14:textId="05E82EC1" w:rsidR="003364F2" w:rsidRPr="0059550D" w:rsidRDefault="003364F2" w:rsidP="00DD3B96">
            <w:pPr>
              <w:rPr>
                <w:szCs w:val="24"/>
                <w:lang w:val="en-IE"/>
              </w:rPr>
            </w:pPr>
            <w:r w:rsidRPr="0059550D">
              <w:rPr>
                <w:szCs w:val="24"/>
                <w:lang w:val="en-IE"/>
              </w:rPr>
              <w:t>The three codes including “Middle of Range”</w:t>
            </w:r>
            <w:r w:rsidR="003B190A" w:rsidRPr="0059550D">
              <w:rPr>
                <w:rStyle w:val="FootnoteReference"/>
                <w:szCs w:val="24"/>
                <w:lang w:val="en-IE"/>
              </w:rPr>
              <w:footnoteReference w:id="93"/>
            </w:r>
            <w:r w:rsidRPr="0059550D">
              <w:rPr>
                <w:szCs w:val="24"/>
                <w:lang w:val="en-IE"/>
              </w:rPr>
              <w:t xml:space="preserve"> </w:t>
            </w:r>
            <w:r w:rsidR="003B190A" w:rsidRPr="0059550D">
              <w:rPr>
                <w:szCs w:val="24"/>
                <w:lang w:val="en-IE"/>
              </w:rPr>
              <w:t xml:space="preserve">can be used </w:t>
            </w:r>
            <w:r w:rsidR="00DE2966" w:rsidRPr="0059550D">
              <w:rPr>
                <w:szCs w:val="24"/>
                <w:lang w:val="en-IE"/>
              </w:rPr>
              <w:t xml:space="preserve">in a competition form </w:t>
            </w:r>
            <w:r w:rsidR="003B190A" w:rsidRPr="0059550D">
              <w:rPr>
                <w:szCs w:val="24"/>
                <w:lang w:val="en-IE"/>
              </w:rPr>
              <w:t xml:space="preserve">to highlight that, in fact, the weighing </w:t>
            </w:r>
            <w:r w:rsidR="00DE2966" w:rsidRPr="0059550D">
              <w:rPr>
                <w:szCs w:val="24"/>
                <w:lang w:val="en-IE"/>
              </w:rPr>
              <w:t xml:space="preserve">of a given criterion is, so far, only known as a range. </w:t>
            </w:r>
          </w:p>
          <w:p w14:paraId="02CDB4B3" w14:textId="2DB86CFD" w:rsidR="003364F2" w:rsidRPr="0059550D" w:rsidRDefault="003364F2" w:rsidP="00DD3B96">
            <w:pPr>
              <w:rPr>
                <w:i/>
                <w:szCs w:val="24"/>
                <w:lang w:val="en-IE"/>
              </w:rPr>
            </w:pPr>
          </w:p>
          <w:p w14:paraId="1A7121F8" w14:textId="77777777" w:rsidR="003364F2" w:rsidRPr="0059550D" w:rsidRDefault="002A372E" w:rsidP="0034167F">
            <w:pPr>
              <w:rPr>
                <w:lang w:val="en-IE"/>
              </w:rPr>
            </w:pPr>
            <w:r w:rsidRPr="0059550D">
              <w:rPr>
                <w:i/>
                <w:szCs w:val="24"/>
                <w:lang w:val="en-IE"/>
              </w:rPr>
              <w:t xml:space="preserve">The </w:t>
            </w:r>
            <w:r w:rsidR="003364F2" w:rsidRPr="0059550D">
              <w:rPr>
                <w:szCs w:val="24"/>
                <w:lang w:val="en-IE"/>
              </w:rPr>
              <w:t>“Order of importance”</w:t>
            </w:r>
            <w:r w:rsidRPr="0059550D">
              <w:rPr>
                <w:rStyle w:val="FootnoteReference"/>
                <w:lang w:val="en-IE"/>
              </w:rPr>
              <w:t xml:space="preserve"> </w:t>
            </w:r>
            <w:r w:rsidRPr="0059550D">
              <w:rPr>
                <w:rStyle w:val="FootnoteReference"/>
                <w:lang w:val="en-IE"/>
              </w:rPr>
              <w:footnoteReference w:id="94"/>
            </w:r>
            <w:r w:rsidRPr="0059550D">
              <w:rPr>
                <w:i/>
                <w:szCs w:val="24"/>
                <w:lang w:val="en-IE"/>
              </w:rPr>
              <w:t xml:space="preserve"> </w:t>
            </w:r>
            <w:r w:rsidRPr="0059550D">
              <w:rPr>
                <w:szCs w:val="24"/>
                <w:lang w:val="en-IE"/>
              </w:rPr>
              <w:t xml:space="preserve">code </w:t>
            </w:r>
            <w:r w:rsidR="0034167F" w:rsidRPr="0059550D">
              <w:rPr>
                <w:szCs w:val="24"/>
                <w:lang w:val="en-IE"/>
              </w:rPr>
              <w:t xml:space="preserve">can be given, </w:t>
            </w:r>
            <w:r w:rsidR="003364F2" w:rsidRPr="0059550D">
              <w:rPr>
                <w:lang w:val="en-IE"/>
              </w:rPr>
              <w:t xml:space="preserve">“in duly justified cases for which </w:t>
            </w:r>
            <w:r w:rsidR="0034167F" w:rsidRPr="0059550D">
              <w:rPr>
                <w:lang w:val="en-IE"/>
              </w:rPr>
              <w:t xml:space="preserve">[the buyer] must be able to give reasons” instead of a weighing. </w:t>
            </w:r>
          </w:p>
          <w:p w14:paraId="188561A4" w14:textId="77777777" w:rsidR="007C1947" w:rsidRPr="0059550D" w:rsidRDefault="007C1947" w:rsidP="0034167F">
            <w:pPr>
              <w:rPr>
                <w:lang w:val="en-IE"/>
              </w:rPr>
            </w:pPr>
          </w:p>
          <w:p w14:paraId="17AD6C86" w14:textId="5A7E4E32" w:rsidR="007C1947" w:rsidRPr="0059550D" w:rsidRDefault="007C1947" w:rsidP="007C1947">
            <w:pPr>
              <w:rPr>
                <w:szCs w:val="24"/>
                <w:lang w:val="en-IE"/>
              </w:rPr>
            </w:pPr>
            <w:r w:rsidRPr="0059550D">
              <w:rPr>
                <w:szCs w:val="24"/>
                <w:lang w:val="en-IE"/>
              </w:rPr>
              <w:t>In many jurisdictions, one or both of the above mentioned approaches is not possible, in which cases these codes should not be used.</w:t>
            </w:r>
          </w:p>
        </w:tc>
      </w:tr>
      <w:tr w:rsidR="000D0B77" w:rsidRPr="0059550D" w14:paraId="51509AAF" w14:textId="77777777" w:rsidTr="00651044">
        <w:tc>
          <w:tcPr>
            <w:tcW w:w="483" w:type="pct"/>
            <w:shd w:val="clear" w:color="auto" w:fill="8DB3E2" w:themeFill="text2" w:themeFillTint="66"/>
          </w:tcPr>
          <w:p w14:paraId="46A1A6EC" w14:textId="62358659" w:rsidR="000D0B77" w:rsidRPr="0059550D" w:rsidRDefault="00F5248E" w:rsidP="008B6DC8">
            <w:pPr>
              <w:pStyle w:val="NoSpacing"/>
              <w:rPr>
                <w:i/>
                <w:szCs w:val="24"/>
                <w:lang w:val="en-IE"/>
              </w:rPr>
            </w:pPr>
            <w:r w:rsidRPr="0059550D">
              <w:rPr>
                <w:i/>
                <w:szCs w:val="24"/>
                <w:lang w:val="en-IE"/>
              </w:rPr>
              <w:lastRenderedPageBreak/>
              <w:t>Received Submissions Type</w:t>
            </w:r>
            <w:r w:rsidRPr="0059550D">
              <w:rPr>
                <w:i/>
                <w:szCs w:val="24"/>
                <w:lang w:val="en-IE"/>
              </w:rPr>
              <w:br/>
              <w:t>(BT-760)</w:t>
            </w:r>
          </w:p>
        </w:tc>
        <w:tc>
          <w:tcPr>
            <w:tcW w:w="2699" w:type="pct"/>
            <w:shd w:val="clear" w:color="auto" w:fill="8DB3E2" w:themeFill="text2" w:themeFillTint="66"/>
          </w:tcPr>
          <w:p w14:paraId="2EFA741F" w14:textId="77777777" w:rsidR="004D1271" w:rsidRPr="0059550D" w:rsidRDefault="004D1271" w:rsidP="00DC6C47">
            <w:pPr>
              <w:pStyle w:val="ListParagraph"/>
              <w:numPr>
                <w:ilvl w:val="0"/>
                <w:numId w:val="10"/>
              </w:numPr>
              <w:spacing w:line="276" w:lineRule="auto"/>
              <w:contextualSpacing w:val="0"/>
              <w:rPr>
                <w:i/>
                <w:szCs w:val="24"/>
                <w:lang w:val="en-IE"/>
              </w:rPr>
            </w:pPr>
            <w:r w:rsidRPr="0059550D">
              <w:rPr>
                <w:i/>
                <w:szCs w:val="24"/>
                <w:lang w:val="en-IE"/>
              </w:rPr>
              <w:t>Requests to participate</w:t>
            </w:r>
          </w:p>
          <w:p w14:paraId="59459C35" w14:textId="77777777" w:rsidR="004D1271" w:rsidRPr="0059550D" w:rsidRDefault="004D1271" w:rsidP="00DC6C47">
            <w:pPr>
              <w:pStyle w:val="ListParagraph"/>
              <w:numPr>
                <w:ilvl w:val="0"/>
                <w:numId w:val="10"/>
              </w:numPr>
              <w:spacing w:line="276" w:lineRule="auto"/>
              <w:contextualSpacing w:val="0"/>
              <w:rPr>
                <w:i/>
                <w:szCs w:val="24"/>
                <w:lang w:val="en-IE"/>
              </w:rPr>
            </w:pPr>
            <w:r w:rsidRPr="0059550D">
              <w:rPr>
                <w:i/>
                <w:szCs w:val="24"/>
                <w:lang w:val="en-IE"/>
              </w:rPr>
              <w:t>Tenders</w:t>
            </w:r>
          </w:p>
          <w:p w14:paraId="5E867A03" w14:textId="77777777" w:rsidR="004D1271" w:rsidRPr="0059550D" w:rsidRDefault="004D1271" w:rsidP="00DC6C47">
            <w:pPr>
              <w:pStyle w:val="ListParagraph"/>
              <w:numPr>
                <w:ilvl w:val="0"/>
                <w:numId w:val="10"/>
              </w:numPr>
              <w:spacing w:line="276" w:lineRule="auto"/>
              <w:contextualSpacing w:val="0"/>
              <w:rPr>
                <w:i/>
                <w:szCs w:val="24"/>
                <w:lang w:val="en-IE"/>
              </w:rPr>
            </w:pPr>
            <w:r w:rsidRPr="0059550D">
              <w:rPr>
                <w:i/>
                <w:szCs w:val="24"/>
                <w:lang w:val="en-IE"/>
              </w:rPr>
              <w:t>Tenders from micro, small or medium tenderers</w:t>
            </w:r>
          </w:p>
          <w:p w14:paraId="6803C058" w14:textId="77777777" w:rsidR="004D1271" w:rsidRPr="0059550D" w:rsidRDefault="004D1271" w:rsidP="00DC6C47">
            <w:pPr>
              <w:pStyle w:val="ListParagraph"/>
              <w:numPr>
                <w:ilvl w:val="1"/>
                <w:numId w:val="10"/>
              </w:numPr>
              <w:spacing w:line="276" w:lineRule="auto"/>
              <w:contextualSpacing w:val="0"/>
              <w:rPr>
                <w:i/>
                <w:szCs w:val="24"/>
                <w:lang w:val="en-IE"/>
              </w:rPr>
            </w:pPr>
            <w:r w:rsidRPr="0059550D">
              <w:rPr>
                <w:i/>
                <w:szCs w:val="24"/>
                <w:lang w:val="en-IE"/>
              </w:rPr>
              <w:t>Tenders from micro tenderers</w:t>
            </w:r>
          </w:p>
          <w:p w14:paraId="72F6E873" w14:textId="77777777" w:rsidR="004D1271" w:rsidRPr="0059550D" w:rsidRDefault="004D1271" w:rsidP="00DC6C47">
            <w:pPr>
              <w:pStyle w:val="ListParagraph"/>
              <w:numPr>
                <w:ilvl w:val="1"/>
                <w:numId w:val="10"/>
              </w:numPr>
              <w:spacing w:line="276" w:lineRule="auto"/>
              <w:contextualSpacing w:val="0"/>
              <w:rPr>
                <w:i/>
                <w:szCs w:val="24"/>
                <w:lang w:val="en-IE"/>
              </w:rPr>
            </w:pPr>
            <w:r w:rsidRPr="0059550D">
              <w:rPr>
                <w:i/>
                <w:szCs w:val="24"/>
                <w:lang w:val="en-IE"/>
              </w:rPr>
              <w:t>Tenders from small tenderers</w:t>
            </w:r>
          </w:p>
          <w:p w14:paraId="054086FB" w14:textId="77777777" w:rsidR="004D1271" w:rsidRPr="0059550D" w:rsidRDefault="004D1271" w:rsidP="00DC6C47">
            <w:pPr>
              <w:pStyle w:val="ListParagraph"/>
              <w:numPr>
                <w:ilvl w:val="1"/>
                <w:numId w:val="10"/>
              </w:numPr>
              <w:spacing w:line="276" w:lineRule="auto"/>
              <w:contextualSpacing w:val="0"/>
              <w:rPr>
                <w:i/>
                <w:szCs w:val="24"/>
                <w:lang w:val="en-IE"/>
              </w:rPr>
            </w:pPr>
            <w:r w:rsidRPr="0059550D">
              <w:rPr>
                <w:i/>
                <w:szCs w:val="24"/>
                <w:lang w:val="en-IE"/>
              </w:rPr>
              <w:t>Tenders from medium tenderers</w:t>
            </w:r>
          </w:p>
          <w:p w14:paraId="178700C3" w14:textId="77777777" w:rsidR="004D1271" w:rsidRPr="0059550D" w:rsidRDefault="004D1271" w:rsidP="00DC6C47">
            <w:pPr>
              <w:pStyle w:val="ListParagraph"/>
              <w:numPr>
                <w:ilvl w:val="0"/>
                <w:numId w:val="10"/>
              </w:numPr>
              <w:spacing w:line="276" w:lineRule="auto"/>
              <w:contextualSpacing w:val="0"/>
              <w:rPr>
                <w:i/>
                <w:szCs w:val="24"/>
                <w:lang w:val="en-IE"/>
              </w:rPr>
            </w:pPr>
            <w:r w:rsidRPr="0059550D">
              <w:rPr>
                <w:i/>
                <w:szCs w:val="24"/>
                <w:lang w:val="en-IE"/>
              </w:rPr>
              <w:t xml:space="preserve">Tenders from tenderers registered in other European Economic Area countries than the country of the buyer </w:t>
            </w:r>
          </w:p>
          <w:p w14:paraId="3134E772" w14:textId="77777777" w:rsidR="004D1271" w:rsidRPr="0059550D" w:rsidRDefault="004D1271" w:rsidP="00DC6C47">
            <w:pPr>
              <w:pStyle w:val="ListParagraph"/>
              <w:numPr>
                <w:ilvl w:val="0"/>
                <w:numId w:val="10"/>
              </w:numPr>
              <w:spacing w:line="276" w:lineRule="auto"/>
              <w:contextualSpacing w:val="0"/>
              <w:rPr>
                <w:i/>
                <w:szCs w:val="24"/>
                <w:lang w:val="en-IE"/>
              </w:rPr>
            </w:pPr>
            <w:r w:rsidRPr="0059550D">
              <w:rPr>
                <w:i/>
                <w:szCs w:val="24"/>
                <w:lang w:val="en-IE"/>
              </w:rPr>
              <w:t>Tenders from tenders registered in countries outside of the European Economic Area</w:t>
            </w:r>
          </w:p>
          <w:p w14:paraId="559FD981" w14:textId="77777777" w:rsidR="004D1271" w:rsidRPr="0059550D" w:rsidRDefault="004D1271" w:rsidP="00DC6C47">
            <w:pPr>
              <w:pStyle w:val="ListParagraph"/>
              <w:numPr>
                <w:ilvl w:val="0"/>
                <w:numId w:val="10"/>
              </w:numPr>
              <w:spacing w:line="276" w:lineRule="auto"/>
              <w:contextualSpacing w:val="0"/>
              <w:rPr>
                <w:i/>
                <w:szCs w:val="24"/>
                <w:lang w:val="en-IE"/>
              </w:rPr>
            </w:pPr>
            <w:r w:rsidRPr="0059550D">
              <w:rPr>
                <w:i/>
                <w:szCs w:val="24"/>
                <w:lang w:val="en-IE"/>
              </w:rPr>
              <w:t>Tenders verified and inadmissible</w:t>
            </w:r>
          </w:p>
          <w:p w14:paraId="70680293" w14:textId="77777777" w:rsidR="004D1271" w:rsidRPr="0059550D" w:rsidRDefault="004D1271" w:rsidP="00DC6C47">
            <w:pPr>
              <w:pStyle w:val="ListParagraph"/>
              <w:numPr>
                <w:ilvl w:val="0"/>
                <w:numId w:val="10"/>
              </w:numPr>
              <w:spacing w:line="276" w:lineRule="auto"/>
              <w:contextualSpacing w:val="0"/>
              <w:rPr>
                <w:i/>
                <w:szCs w:val="24"/>
                <w:lang w:val="en-IE"/>
              </w:rPr>
            </w:pPr>
            <w:r w:rsidRPr="0059550D">
              <w:rPr>
                <w:i/>
                <w:szCs w:val="24"/>
                <w:lang w:val="en-IE"/>
              </w:rPr>
              <w:t>Tenders verified and inadmissible because of an abnormally low price or cost</w:t>
            </w:r>
          </w:p>
          <w:p w14:paraId="6137C400" w14:textId="77777777" w:rsidR="004D1271" w:rsidRPr="0059550D" w:rsidRDefault="004D1271" w:rsidP="00DC6C47">
            <w:pPr>
              <w:pStyle w:val="ListParagraph"/>
              <w:numPr>
                <w:ilvl w:val="0"/>
                <w:numId w:val="10"/>
              </w:numPr>
              <w:spacing w:line="276" w:lineRule="auto"/>
              <w:contextualSpacing w:val="0"/>
              <w:rPr>
                <w:i/>
                <w:szCs w:val="24"/>
                <w:lang w:val="en-IE"/>
              </w:rPr>
            </w:pPr>
            <w:r w:rsidRPr="0059550D">
              <w:rPr>
                <w:i/>
                <w:szCs w:val="24"/>
                <w:lang w:val="en-IE"/>
              </w:rPr>
              <w:t>Tenders for which it has not been verified if they are admissible or inadmissible</w:t>
            </w:r>
          </w:p>
          <w:p w14:paraId="428D880C" w14:textId="336724EB" w:rsidR="000D0B77" w:rsidRPr="0059550D" w:rsidRDefault="004D1271" w:rsidP="00DC6C47">
            <w:pPr>
              <w:pStyle w:val="ListParagraph"/>
              <w:numPr>
                <w:ilvl w:val="0"/>
                <w:numId w:val="10"/>
              </w:numPr>
              <w:spacing w:line="276" w:lineRule="auto"/>
              <w:contextualSpacing w:val="0"/>
              <w:rPr>
                <w:i/>
                <w:szCs w:val="24"/>
                <w:lang w:val="en-IE"/>
              </w:rPr>
            </w:pPr>
            <w:r w:rsidRPr="0059550D">
              <w:rPr>
                <w:i/>
                <w:szCs w:val="24"/>
                <w:lang w:val="en-IE"/>
              </w:rPr>
              <w:t>Tenders submitted electronically</w:t>
            </w:r>
          </w:p>
        </w:tc>
        <w:tc>
          <w:tcPr>
            <w:tcW w:w="1818" w:type="pct"/>
          </w:tcPr>
          <w:p w14:paraId="086B8C38" w14:textId="2C6FAD17" w:rsidR="00FA75B1" w:rsidRPr="0059550D" w:rsidRDefault="00F03B98" w:rsidP="00FA75B1">
            <w:pPr>
              <w:rPr>
                <w:rFonts w:cstheme="minorHAnsi"/>
                <w:lang w:val="en-IE"/>
              </w:rPr>
            </w:pPr>
            <w:r w:rsidRPr="0059550D">
              <w:rPr>
                <w:rFonts w:cstheme="minorHAnsi"/>
                <w:lang w:val="en-IE"/>
              </w:rPr>
              <w:t>The cod</w:t>
            </w:r>
            <w:r w:rsidR="00794493" w:rsidRPr="0059550D">
              <w:rPr>
                <w:rFonts w:cstheme="minorHAnsi"/>
                <w:lang w:val="en-IE"/>
              </w:rPr>
              <w:t>e</w:t>
            </w:r>
            <w:r w:rsidRPr="0059550D">
              <w:rPr>
                <w:rFonts w:cstheme="minorHAnsi"/>
                <w:lang w:val="en-IE"/>
              </w:rPr>
              <w:t xml:space="preserve"> </w:t>
            </w:r>
            <w:r w:rsidR="00FA75B1" w:rsidRPr="0059550D">
              <w:rPr>
                <w:rFonts w:cstheme="minorHAnsi"/>
                <w:lang w:val="en-IE"/>
              </w:rPr>
              <w:t>“Tenders”</w:t>
            </w:r>
            <w:r w:rsidR="00794493" w:rsidRPr="0059550D">
              <w:rPr>
                <w:rFonts w:cstheme="minorHAnsi"/>
                <w:lang w:val="en-IE"/>
              </w:rPr>
              <w:t xml:space="preserve"> must be used. For certain notices,</w:t>
            </w:r>
            <w:r w:rsidR="00FA75B1" w:rsidRPr="0059550D">
              <w:rPr>
                <w:rFonts w:cstheme="minorHAnsi"/>
                <w:lang w:val="en-IE"/>
              </w:rPr>
              <w:t xml:space="preserve"> </w:t>
            </w:r>
          </w:p>
          <w:p w14:paraId="3E662857" w14:textId="6D048845" w:rsidR="00236155" w:rsidRPr="0059550D" w:rsidRDefault="00794493" w:rsidP="00794493">
            <w:pPr>
              <w:rPr>
                <w:szCs w:val="24"/>
                <w:lang w:val="en-IE"/>
              </w:rPr>
            </w:pPr>
            <w:r w:rsidRPr="0059550D">
              <w:rPr>
                <w:szCs w:val="24"/>
                <w:lang w:val="en-IE"/>
              </w:rPr>
              <w:t>“T</w:t>
            </w:r>
            <w:r w:rsidR="00FA75B1" w:rsidRPr="0059550D">
              <w:rPr>
                <w:szCs w:val="24"/>
                <w:lang w:val="en-IE"/>
              </w:rPr>
              <w:t>enders from micro, small and medium enterprises</w:t>
            </w:r>
            <w:r w:rsidRPr="0059550D">
              <w:rPr>
                <w:szCs w:val="24"/>
                <w:lang w:val="en-IE"/>
              </w:rPr>
              <w:t>”, “T</w:t>
            </w:r>
            <w:r w:rsidR="00FA75B1" w:rsidRPr="0059550D">
              <w:rPr>
                <w:szCs w:val="24"/>
                <w:lang w:val="en-IE"/>
              </w:rPr>
              <w:t>enders from tenderers registered in other European Economic Area countries</w:t>
            </w:r>
            <w:r w:rsidRPr="0059550D">
              <w:rPr>
                <w:szCs w:val="24"/>
                <w:lang w:val="en-IE"/>
              </w:rPr>
              <w:t>”</w:t>
            </w:r>
            <w:r w:rsidR="00FA75B1" w:rsidRPr="0059550D">
              <w:rPr>
                <w:szCs w:val="24"/>
                <w:lang w:val="en-IE"/>
              </w:rPr>
              <w:t xml:space="preserve"> and </w:t>
            </w:r>
            <w:r w:rsidRPr="0059550D">
              <w:rPr>
                <w:szCs w:val="24"/>
                <w:lang w:val="en-IE"/>
              </w:rPr>
              <w:t>“T</w:t>
            </w:r>
            <w:r w:rsidR="00FA75B1" w:rsidRPr="0059550D">
              <w:rPr>
                <w:szCs w:val="24"/>
                <w:lang w:val="en-IE"/>
              </w:rPr>
              <w:t>enders received from tenderers registered in countries outside of the European Economic Area</w:t>
            </w:r>
            <w:r w:rsidRPr="0059550D">
              <w:rPr>
                <w:szCs w:val="24"/>
                <w:lang w:val="en-IE"/>
              </w:rPr>
              <w:t>”</w:t>
            </w:r>
            <w:r w:rsidR="00FA75B1" w:rsidRPr="0059550D">
              <w:rPr>
                <w:szCs w:val="24"/>
                <w:lang w:val="en-IE"/>
              </w:rPr>
              <w:t xml:space="preserve"> must also be given.</w:t>
            </w:r>
            <w:r w:rsidR="0003500F" w:rsidRPr="0059550D">
              <w:rPr>
                <w:szCs w:val="24"/>
                <w:lang w:val="en-IE"/>
              </w:rPr>
              <w:t xml:space="preserve"> Broadening the use of these codes for all notices (e.g. light regime)</w:t>
            </w:r>
            <w:r w:rsidR="00236155" w:rsidRPr="0059550D">
              <w:rPr>
                <w:szCs w:val="24"/>
                <w:lang w:val="en-IE"/>
              </w:rPr>
              <w:t xml:space="preserve"> </w:t>
            </w:r>
            <w:r w:rsidR="00832FB2" w:rsidRPr="0059550D">
              <w:rPr>
                <w:szCs w:val="24"/>
                <w:lang w:val="en-IE"/>
              </w:rPr>
              <w:t xml:space="preserve">allows answering </w:t>
            </w:r>
            <w:r w:rsidR="00236155" w:rsidRPr="0059550D">
              <w:rPr>
                <w:szCs w:val="24"/>
                <w:lang w:val="en-IE"/>
              </w:rPr>
              <w:t>questions such as:</w:t>
            </w:r>
          </w:p>
          <w:p w14:paraId="0C00D1D5" w14:textId="77777777" w:rsidR="005D02F3" w:rsidRPr="0059550D" w:rsidRDefault="005D02F3" w:rsidP="00DC6C47">
            <w:pPr>
              <w:pStyle w:val="ListParagraph"/>
              <w:numPr>
                <w:ilvl w:val="0"/>
                <w:numId w:val="22"/>
              </w:numPr>
              <w:rPr>
                <w:szCs w:val="24"/>
                <w:lang w:val="en-IE"/>
              </w:rPr>
            </w:pPr>
            <w:r w:rsidRPr="0059550D">
              <w:rPr>
                <w:szCs w:val="24"/>
                <w:lang w:val="en-IE"/>
              </w:rPr>
              <w:t xml:space="preserve">What is the situation of SMEs in procedures falling under the light regime? </w:t>
            </w:r>
          </w:p>
          <w:p w14:paraId="4391F0EB" w14:textId="62928E25" w:rsidR="00236155" w:rsidRPr="0059550D" w:rsidRDefault="00832FB2" w:rsidP="00DC6C47">
            <w:pPr>
              <w:pStyle w:val="ListParagraph"/>
              <w:numPr>
                <w:ilvl w:val="0"/>
                <w:numId w:val="22"/>
              </w:numPr>
              <w:rPr>
                <w:szCs w:val="24"/>
                <w:lang w:val="en-IE"/>
              </w:rPr>
            </w:pPr>
            <w:r w:rsidRPr="0059550D">
              <w:rPr>
                <w:szCs w:val="24"/>
                <w:lang w:val="en-IE"/>
              </w:rPr>
              <w:t>What is the c</w:t>
            </w:r>
            <w:r w:rsidR="00236155" w:rsidRPr="0059550D">
              <w:rPr>
                <w:szCs w:val="24"/>
                <w:lang w:val="en-IE"/>
              </w:rPr>
              <w:t>ross-border interest</w:t>
            </w:r>
            <w:r w:rsidRPr="0059550D">
              <w:rPr>
                <w:szCs w:val="24"/>
                <w:lang w:val="en-IE"/>
              </w:rPr>
              <w:t xml:space="preserve"> in contracts under the light regime? </w:t>
            </w:r>
          </w:p>
          <w:p w14:paraId="158CED7D" w14:textId="3983A087" w:rsidR="0003500F" w:rsidRPr="0059550D" w:rsidRDefault="0003500F" w:rsidP="00794493">
            <w:pPr>
              <w:rPr>
                <w:szCs w:val="24"/>
                <w:lang w:val="en-IE"/>
              </w:rPr>
            </w:pPr>
          </w:p>
          <w:p w14:paraId="5AAE0A79" w14:textId="5316B6E2" w:rsidR="00794493" w:rsidRPr="0059550D" w:rsidRDefault="002711CE" w:rsidP="002711CE">
            <w:pPr>
              <w:rPr>
                <w:szCs w:val="24"/>
                <w:lang w:val="en-IE"/>
              </w:rPr>
            </w:pPr>
            <w:r w:rsidRPr="0059550D">
              <w:rPr>
                <w:szCs w:val="24"/>
                <w:lang w:val="en-IE"/>
              </w:rPr>
              <w:t xml:space="preserve">Using the code “Requests to participate” enables comparing the impacts of single and multiple-stage procedures (in particular open and restricted) on competition. </w:t>
            </w:r>
          </w:p>
          <w:p w14:paraId="62BEBCD1" w14:textId="735A3595" w:rsidR="004F0F39" w:rsidRPr="0059550D" w:rsidRDefault="004F0F39" w:rsidP="002711CE">
            <w:pPr>
              <w:rPr>
                <w:szCs w:val="24"/>
                <w:lang w:val="en-IE"/>
              </w:rPr>
            </w:pPr>
          </w:p>
          <w:p w14:paraId="66C69C39" w14:textId="15492A05" w:rsidR="004F0F39" w:rsidRPr="0059550D" w:rsidRDefault="004F0F39" w:rsidP="002711CE">
            <w:pPr>
              <w:rPr>
                <w:szCs w:val="24"/>
                <w:lang w:val="en-IE"/>
              </w:rPr>
            </w:pPr>
            <w:r w:rsidRPr="0059550D">
              <w:rPr>
                <w:szCs w:val="24"/>
                <w:lang w:val="en-IE"/>
              </w:rPr>
              <w:t xml:space="preserve">Using the more detailed codes on micro, small and medium tenderers allows better understanding the </w:t>
            </w:r>
            <w:r w:rsidRPr="0059550D">
              <w:rPr>
                <w:szCs w:val="24"/>
                <w:lang w:val="en-IE"/>
              </w:rPr>
              <w:lastRenderedPageBreak/>
              <w:t>barriers SME</w:t>
            </w:r>
            <w:r w:rsidR="00E132DB" w:rsidRPr="0059550D">
              <w:rPr>
                <w:szCs w:val="24"/>
                <w:lang w:val="en-IE"/>
              </w:rPr>
              <w:t>s are facing in procurement procedures (</w:t>
            </w:r>
            <w:r w:rsidR="005D02F3" w:rsidRPr="0059550D">
              <w:rPr>
                <w:szCs w:val="24"/>
                <w:lang w:val="en-IE"/>
              </w:rPr>
              <w:t xml:space="preserve">for more information on benefits and costs, </w:t>
            </w:r>
            <w:r w:rsidR="00E132DB" w:rsidRPr="0059550D">
              <w:rPr>
                <w:szCs w:val="24"/>
                <w:lang w:val="en-IE"/>
              </w:rPr>
              <w:t xml:space="preserve">see </w:t>
            </w:r>
            <w:r w:rsidR="005D02F3" w:rsidRPr="0059550D">
              <w:rPr>
                <w:szCs w:val="24"/>
                <w:lang w:val="en-IE"/>
              </w:rPr>
              <w:t xml:space="preserve">the </w:t>
            </w:r>
            <w:r w:rsidR="00E132DB" w:rsidRPr="0059550D">
              <w:rPr>
                <w:szCs w:val="24"/>
                <w:lang w:val="en-IE"/>
              </w:rPr>
              <w:t xml:space="preserve">discussion on the Winner Size BT-165 codelist, above). </w:t>
            </w:r>
          </w:p>
          <w:p w14:paraId="046819DB" w14:textId="71A8B4D2" w:rsidR="002711CE" w:rsidRPr="0059550D" w:rsidRDefault="002711CE" w:rsidP="002711CE">
            <w:pPr>
              <w:rPr>
                <w:szCs w:val="24"/>
                <w:lang w:val="en-IE"/>
              </w:rPr>
            </w:pPr>
          </w:p>
          <w:p w14:paraId="6278C620" w14:textId="368F445C" w:rsidR="005649CA" w:rsidRPr="0059550D" w:rsidRDefault="003D5973" w:rsidP="00591E86">
            <w:pPr>
              <w:spacing w:line="276" w:lineRule="auto"/>
              <w:rPr>
                <w:color w:val="000000"/>
                <w:szCs w:val="24"/>
                <w:lang w:val="en-IE"/>
              </w:rPr>
            </w:pPr>
            <w:r w:rsidRPr="0059550D">
              <w:rPr>
                <w:color w:val="000000"/>
                <w:szCs w:val="24"/>
                <w:lang w:val="en-IE"/>
              </w:rPr>
              <w:t>Using the code “</w:t>
            </w:r>
            <w:r w:rsidRPr="0059550D">
              <w:rPr>
                <w:szCs w:val="24"/>
                <w:lang w:val="en-IE"/>
              </w:rPr>
              <w:t xml:space="preserve">Tenders verified and inadmissible” </w:t>
            </w:r>
            <w:r w:rsidR="00591E86" w:rsidRPr="0059550D">
              <w:rPr>
                <w:szCs w:val="24"/>
                <w:lang w:val="en-IE"/>
              </w:rPr>
              <w:t>(</w:t>
            </w:r>
            <w:r w:rsidRPr="0059550D">
              <w:rPr>
                <w:szCs w:val="24"/>
                <w:lang w:val="en-IE"/>
              </w:rPr>
              <w:t>and</w:t>
            </w:r>
            <w:r w:rsidR="00591E86" w:rsidRPr="0059550D">
              <w:rPr>
                <w:szCs w:val="24"/>
                <w:lang w:val="en-IE"/>
              </w:rPr>
              <w:t>, the complimentary</w:t>
            </w:r>
            <w:r w:rsidRPr="0059550D">
              <w:rPr>
                <w:szCs w:val="24"/>
                <w:lang w:val="en-IE"/>
              </w:rPr>
              <w:t xml:space="preserve"> “Tenders for which it has not been verified if they are admissible or inadmissible”</w:t>
            </w:r>
            <w:r w:rsidR="00591E86" w:rsidRPr="0059550D">
              <w:rPr>
                <w:i/>
                <w:szCs w:val="24"/>
                <w:lang w:val="en-IE"/>
              </w:rPr>
              <w:t>)</w:t>
            </w:r>
            <w:r w:rsidR="00591E86" w:rsidRPr="0059550D">
              <w:rPr>
                <w:szCs w:val="24"/>
                <w:lang w:val="en-IE"/>
              </w:rPr>
              <w:t xml:space="preserve"> helps identify low professionalism and address it. This is because </w:t>
            </w:r>
            <w:r w:rsidR="00591E86" w:rsidRPr="0059550D">
              <w:rPr>
                <w:color w:val="000000"/>
                <w:szCs w:val="24"/>
                <w:lang w:val="en-IE"/>
              </w:rPr>
              <w:t>inadmissible</w:t>
            </w:r>
            <w:r w:rsidR="005649CA" w:rsidRPr="0059550D">
              <w:rPr>
                <w:color w:val="000000"/>
                <w:szCs w:val="24"/>
                <w:lang w:val="en-IE"/>
              </w:rPr>
              <w:t xml:space="preserve"> tenders </w:t>
            </w:r>
            <w:r w:rsidR="00591E86" w:rsidRPr="0059550D">
              <w:rPr>
                <w:color w:val="000000"/>
                <w:szCs w:val="24"/>
                <w:lang w:val="en-IE"/>
              </w:rPr>
              <w:t xml:space="preserve">are the </w:t>
            </w:r>
            <w:r w:rsidR="005649CA" w:rsidRPr="0059550D">
              <w:rPr>
                <w:color w:val="000000"/>
                <w:szCs w:val="24"/>
                <w:lang w:val="en-IE"/>
              </w:rPr>
              <w:t xml:space="preserve">wasted time and opportunities – of </w:t>
            </w:r>
            <w:r w:rsidR="00591E86" w:rsidRPr="0059550D">
              <w:rPr>
                <w:color w:val="000000"/>
                <w:szCs w:val="24"/>
                <w:lang w:val="en-IE"/>
              </w:rPr>
              <w:t xml:space="preserve">both </w:t>
            </w:r>
            <w:r w:rsidR="005649CA" w:rsidRPr="0059550D">
              <w:rPr>
                <w:color w:val="000000"/>
                <w:szCs w:val="24"/>
                <w:lang w:val="en-IE"/>
              </w:rPr>
              <w:t>companies and buyers. Furthermore, inadmissible tenders may indicate collusion</w:t>
            </w:r>
            <w:r w:rsidR="005649CA" w:rsidRPr="0059550D">
              <w:rPr>
                <w:rStyle w:val="FootnoteReference"/>
                <w:color w:val="000000"/>
                <w:szCs w:val="24"/>
                <w:lang w:val="en-IE"/>
              </w:rPr>
              <w:footnoteReference w:id="95"/>
            </w:r>
            <w:r w:rsidR="005649CA" w:rsidRPr="0059550D">
              <w:rPr>
                <w:color w:val="000000"/>
                <w:szCs w:val="24"/>
                <w:lang w:val="en-IE"/>
              </w:rPr>
              <w:t xml:space="preserve">. </w:t>
            </w:r>
          </w:p>
          <w:p w14:paraId="4E559BA1" w14:textId="77777777" w:rsidR="005649CA" w:rsidRPr="0059550D" w:rsidRDefault="005649CA" w:rsidP="005649CA">
            <w:pPr>
              <w:rPr>
                <w:color w:val="000000"/>
                <w:szCs w:val="24"/>
                <w:lang w:val="en-IE"/>
              </w:rPr>
            </w:pPr>
          </w:p>
          <w:p w14:paraId="4AA905CE" w14:textId="1F10EFD0" w:rsidR="002711CE" w:rsidRPr="0059550D" w:rsidRDefault="005649CA" w:rsidP="00323FED">
            <w:pPr>
              <w:spacing w:line="276" w:lineRule="auto"/>
              <w:rPr>
                <w:szCs w:val="24"/>
                <w:lang w:val="en-IE"/>
              </w:rPr>
            </w:pPr>
            <w:r w:rsidRPr="0059550D">
              <w:rPr>
                <w:color w:val="000000"/>
                <w:szCs w:val="24"/>
                <w:lang w:val="en-IE"/>
              </w:rPr>
              <w:t xml:space="preserve">The costs of submitting </w:t>
            </w:r>
            <w:r w:rsidR="00323FED" w:rsidRPr="0059550D">
              <w:rPr>
                <w:color w:val="000000"/>
                <w:szCs w:val="24"/>
                <w:lang w:val="en-IE"/>
              </w:rPr>
              <w:t xml:space="preserve">the information above is generally small, because they consist of only a single number that is collected anyway. </w:t>
            </w:r>
            <w:r w:rsidRPr="0059550D">
              <w:rPr>
                <w:color w:val="000000"/>
                <w:szCs w:val="24"/>
                <w:lang w:val="en-IE"/>
              </w:rPr>
              <w:t xml:space="preserve">Furthermore, </w:t>
            </w:r>
            <w:r w:rsidR="00323FED" w:rsidRPr="0059550D">
              <w:rPr>
                <w:color w:val="000000"/>
                <w:szCs w:val="24"/>
                <w:lang w:val="en-IE"/>
              </w:rPr>
              <w:t xml:space="preserve">with appropriate eSubmission and eEvaluation modules, </w:t>
            </w:r>
            <w:r w:rsidRPr="0059550D">
              <w:rPr>
                <w:color w:val="000000"/>
                <w:szCs w:val="24"/>
                <w:lang w:val="en-IE"/>
              </w:rPr>
              <w:t xml:space="preserve">the information can </w:t>
            </w:r>
            <w:r w:rsidR="00323FED" w:rsidRPr="0059550D">
              <w:rPr>
                <w:color w:val="000000"/>
                <w:szCs w:val="24"/>
                <w:lang w:val="en-IE"/>
              </w:rPr>
              <w:t xml:space="preserve">be prefilled </w:t>
            </w:r>
            <w:r w:rsidRPr="0059550D">
              <w:rPr>
                <w:color w:val="000000"/>
                <w:szCs w:val="24"/>
                <w:lang w:val="en-IE"/>
              </w:rPr>
              <w:t>automatically.</w:t>
            </w:r>
          </w:p>
        </w:tc>
      </w:tr>
    </w:tbl>
    <w:p w14:paraId="1D07AD88" w14:textId="77777777" w:rsidR="00B64446" w:rsidRPr="0059550D" w:rsidRDefault="00B64446" w:rsidP="00B64446">
      <w:pPr>
        <w:rPr>
          <w:lang w:val="en-IE"/>
        </w:rPr>
      </w:pPr>
    </w:p>
    <w:p w14:paraId="4A98EC4F" w14:textId="77777777" w:rsidR="00B64446" w:rsidRPr="0059550D" w:rsidRDefault="00B64446" w:rsidP="00214E3A">
      <w:pPr>
        <w:pStyle w:val="NoSpacing"/>
        <w:rPr>
          <w:lang w:val="en-IE"/>
        </w:rPr>
      </w:pPr>
    </w:p>
    <w:p w14:paraId="4C8DBC58" w14:textId="77777777" w:rsidR="00C30F61" w:rsidRDefault="00C30F61" w:rsidP="00214E3A">
      <w:pPr>
        <w:pStyle w:val="NoSpacing"/>
        <w:rPr>
          <w:lang w:val="en-IE"/>
        </w:rPr>
        <w:sectPr w:rsidR="00C30F61" w:rsidSect="00B17BA1">
          <w:pgSz w:w="16838" w:h="11906" w:orient="landscape"/>
          <w:pgMar w:top="1417" w:right="1417" w:bottom="1417" w:left="1417" w:header="708" w:footer="708" w:gutter="0"/>
          <w:cols w:space="708"/>
          <w:docGrid w:linePitch="360"/>
        </w:sectPr>
      </w:pPr>
    </w:p>
    <w:p w14:paraId="46990A81" w14:textId="11570EF4" w:rsidR="00BD7CA6" w:rsidRPr="0059550D" w:rsidRDefault="00BD7CA6" w:rsidP="00EB186D">
      <w:pPr>
        <w:pStyle w:val="Heading1"/>
        <w:numPr>
          <w:ilvl w:val="0"/>
          <w:numId w:val="0"/>
        </w:numPr>
        <w:ind w:left="360"/>
        <w:rPr>
          <w:lang w:val="en-IE"/>
        </w:rPr>
      </w:pPr>
      <w:bookmarkStart w:id="84" w:name="_Ref20511445"/>
      <w:bookmarkStart w:id="85" w:name="_Toc25684109"/>
      <w:bookmarkStart w:id="86" w:name="_Ref20163575"/>
      <w:r w:rsidRPr="0059550D">
        <w:rPr>
          <w:lang w:val="en-IE"/>
        </w:rPr>
        <w:lastRenderedPageBreak/>
        <w:t>Annex I</w:t>
      </w:r>
      <w:r w:rsidR="004632ED" w:rsidRPr="0059550D">
        <w:rPr>
          <w:lang w:val="en-IE"/>
        </w:rPr>
        <w:t xml:space="preserve"> </w:t>
      </w:r>
      <w:r w:rsidR="00075259" w:rsidRPr="0059550D">
        <w:rPr>
          <w:lang w:val="en-IE"/>
        </w:rPr>
        <w:t>–</w:t>
      </w:r>
      <w:r w:rsidRPr="0059550D">
        <w:rPr>
          <w:lang w:val="en-IE"/>
        </w:rPr>
        <w:t xml:space="preserve"> </w:t>
      </w:r>
      <w:r w:rsidR="00075259" w:rsidRPr="0059550D">
        <w:rPr>
          <w:lang w:val="en-IE"/>
        </w:rPr>
        <w:t xml:space="preserve">Designing the user </w:t>
      </w:r>
      <w:r w:rsidRPr="0059550D">
        <w:rPr>
          <w:lang w:val="en-IE"/>
        </w:rPr>
        <w:t>interface</w:t>
      </w:r>
      <w:bookmarkEnd w:id="84"/>
      <w:bookmarkEnd w:id="85"/>
      <w:r w:rsidRPr="0059550D">
        <w:rPr>
          <w:lang w:val="en-IE"/>
        </w:rPr>
        <w:t xml:space="preserve"> </w:t>
      </w:r>
      <w:bookmarkEnd w:id="86"/>
    </w:p>
    <w:p w14:paraId="1993E000" w14:textId="1433F5C9" w:rsidR="00B30C06" w:rsidRPr="00D273FF" w:rsidRDefault="00B30C06" w:rsidP="00B30C06">
      <w:pPr>
        <w:pStyle w:val="NoSpacing"/>
        <w:rPr>
          <w:lang w:val="cs-CZ"/>
        </w:rPr>
      </w:pPr>
      <w:r w:rsidRPr="0059550D">
        <w:rPr>
          <w:lang w:val="en-IE"/>
        </w:rPr>
        <w:t xml:space="preserve">Even with many fields filled in automatically, user-friendly interfaces are a crucial precondition for well functioning eForms. </w:t>
      </w:r>
      <w:r w:rsidR="0002527E">
        <w:rPr>
          <w:lang w:val="en-IE"/>
        </w:rPr>
        <w:t xml:space="preserve">In this section, </w:t>
      </w:r>
      <w:r w:rsidRPr="0059550D">
        <w:rPr>
          <w:lang w:val="en-IE"/>
        </w:rPr>
        <w:t>several areas to which implementers should pay particular attention</w:t>
      </w:r>
      <w:r w:rsidR="0002527E">
        <w:rPr>
          <w:lang w:val="en-IE"/>
        </w:rPr>
        <w:t xml:space="preserve"> </w:t>
      </w:r>
      <w:r w:rsidRPr="0059550D">
        <w:rPr>
          <w:lang w:val="en-IE"/>
        </w:rPr>
        <w:t>when designing user interfaces</w:t>
      </w:r>
      <w:r w:rsidR="0002527E">
        <w:rPr>
          <w:lang w:val="en-IE"/>
        </w:rPr>
        <w:t xml:space="preserve"> are outlined</w:t>
      </w:r>
      <w:r w:rsidRPr="0059550D">
        <w:rPr>
          <w:lang w:val="en-IE"/>
        </w:rPr>
        <w:t xml:space="preserve">. </w:t>
      </w:r>
      <w:r w:rsidR="00B53A49">
        <w:rPr>
          <w:lang w:val="en-IE"/>
        </w:rPr>
        <w:t xml:space="preserve">One of the </w:t>
      </w:r>
      <w:r w:rsidR="00020F63" w:rsidRPr="00EE226B">
        <w:rPr>
          <w:lang w:val="en-IE"/>
        </w:rPr>
        <w:t>principle</w:t>
      </w:r>
      <w:r w:rsidR="00B53A49">
        <w:rPr>
          <w:lang w:val="en-IE"/>
        </w:rPr>
        <w:t>s</w:t>
      </w:r>
      <w:r w:rsidR="00020F63" w:rsidRPr="00EE226B">
        <w:rPr>
          <w:lang w:val="en-IE"/>
        </w:rPr>
        <w:t xml:space="preserve"> is that the structure of the data </w:t>
      </w:r>
      <w:r w:rsidR="00D273FF" w:rsidRPr="00EE226B">
        <w:rPr>
          <w:lang w:val="en-IE"/>
        </w:rPr>
        <w:t xml:space="preserve">storage </w:t>
      </w:r>
      <w:r w:rsidR="00020F63" w:rsidRPr="00EE226B">
        <w:rPr>
          <w:lang w:val="en-IE"/>
        </w:rPr>
        <w:t>and of the fields entered by users can</w:t>
      </w:r>
      <w:r w:rsidR="00D273FF" w:rsidRPr="00EE226B">
        <w:rPr>
          <w:lang w:val="en-IE"/>
        </w:rPr>
        <w:t xml:space="preserve"> </w:t>
      </w:r>
      <w:r w:rsidR="00D273FF" w:rsidRPr="00EE226B">
        <w:rPr>
          <w:lang w:val="en-US"/>
        </w:rPr>
        <w:t>-</w:t>
      </w:r>
      <w:r w:rsidR="00020F63" w:rsidRPr="00EE226B">
        <w:rPr>
          <w:lang w:val="en-IE"/>
        </w:rPr>
        <w:t xml:space="preserve"> and should</w:t>
      </w:r>
      <w:r w:rsidR="00D273FF" w:rsidRPr="00EE226B">
        <w:rPr>
          <w:lang w:val="en-IE"/>
        </w:rPr>
        <w:t xml:space="preserve"> -</w:t>
      </w:r>
      <w:r w:rsidR="00020F63" w:rsidRPr="00EE226B">
        <w:rPr>
          <w:lang w:val="en-IE"/>
        </w:rPr>
        <w:t xml:space="preserve"> be very different</w:t>
      </w:r>
      <w:r w:rsidR="00020F63" w:rsidRPr="0059550D">
        <w:rPr>
          <w:lang w:val="en-IE"/>
        </w:rPr>
        <w:t xml:space="preserve">. </w:t>
      </w:r>
    </w:p>
    <w:p w14:paraId="5D2008A3" w14:textId="42B94397" w:rsidR="00020F63" w:rsidRDefault="00020F63" w:rsidP="00B30C06">
      <w:pPr>
        <w:pStyle w:val="NoSpacing"/>
        <w:rPr>
          <w:lang w:val="en-IE"/>
        </w:rPr>
      </w:pPr>
    </w:p>
    <w:p w14:paraId="4F9FA5B1" w14:textId="2868CDF4" w:rsidR="00B30C06" w:rsidRDefault="00A03822" w:rsidP="00B30C06">
      <w:pPr>
        <w:pStyle w:val="NoSpacing"/>
        <w:rPr>
          <w:lang w:val="en-IE"/>
        </w:rPr>
      </w:pPr>
      <w:r>
        <w:rPr>
          <w:lang w:val="en-IE"/>
        </w:rPr>
        <w:t xml:space="preserve">Two </w:t>
      </w:r>
      <w:r w:rsidR="00E10924">
        <w:rPr>
          <w:lang w:val="en-IE"/>
        </w:rPr>
        <w:t xml:space="preserve">dynamics </w:t>
      </w:r>
      <w:r>
        <w:rPr>
          <w:lang w:val="en-IE"/>
        </w:rPr>
        <w:t xml:space="preserve">are worth keeping in mind when designing </w:t>
      </w:r>
      <w:r w:rsidR="00E10924">
        <w:rPr>
          <w:lang w:val="en-IE"/>
        </w:rPr>
        <w:t xml:space="preserve">the user </w:t>
      </w:r>
      <w:r>
        <w:rPr>
          <w:lang w:val="en-IE"/>
        </w:rPr>
        <w:t xml:space="preserve">interfaces. First, lowering administrative burden </w:t>
      </w:r>
      <w:r w:rsidR="00B53A49">
        <w:rPr>
          <w:lang w:val="en-IE"/>
        </w:rPr>
        <w:t xml:space="preserve">could </w:t>
      </w:r>
      <w:r>
        <w:rPr>
          <w:lang w:val="en-IE"/>
        </w:rPr>
        <w:t xml:space="preserve">have a positive impact on </w:t>
      </w:r>
      <w:r w:rsidR="00E10924">
        <w:rPr>
          <w:lang w:val="en-IE"/>
        </w:rPr>
        <w:t xml:space="preserve">the </w:t>
      </w:r>
      <w:r>
        <w:rPr>
          <w:lang w:val="en-IE"/>
        </w:rPr>
        <w:t xml:space="preserve">quality of data, as less frustrated users will </w:t>
      </w:r>
      <w:r w:rsidR="00E10924">
        <w:rPr>
          <w:lang w:val="en-IE"/>
        </w:rPr>
        <w:t xml:space="preserve">be more careful with what they enter. </w:t>
      </w:r>
      <w:r>
        <w:rPr>
          <w:lang w:val="en-IE"/>
        </w:rPr>
        <w:t>Second, pre</w:t>
      </w:r>
      <w:r w:rsidR="00965B6C">
        <w:rPr>
          <w:lang w:val="en-IE"/>
        </w:rPr>
        <w:t>-</w:t>
      </w:r>
      <w:r>
        <w:rPr>
          <w:lang w:val="en-IE"/>
        </w:rPr>
        <w:t xml:space="preserve">filling information on behalf of users </w:t>
      </w:r>
      <w:r w:rsidR="00E10924">
        <w:rPr>
          <w:lang w:val="en-IE"/>
        </w:rPr>
        <w:t xml:space="preserve">may create a trade-off </w:t>
      </w:r>
      <w:r w:rsidR="00020F63" w:rsidRPr="0059550D">
        <w:rPr>
          <w:lang w:val="en-IE"/>
        </w:rPr>
        <w:t>of between admin</w:t>
      </w:r>
      <w:r w:rsidR="00E10924">
        <w:rPr>
          <w:lang w:val="en-IE"/>
        </w:rPr>
        <w:t>istrative</w:t>
      </w:r>
      <w:r w:rsidR="00020F63" w:rsidRPr="0059550D">
        <w:rPr>
          <w:lang w:val="en-IE"/>
        </w:rPr>
        <w:t xml:space="preserve"> burden and quality</w:t>
      </w:r>
      <w:r w:rsidR="00E10924">
        <w:rPr>
          <w:lang w:val="en-IE"/>
        </w:rPr>
        <w:t xml:space="preserve"> – it runs the risks of users just clicking “ok” and accepting any</w:t>
      </w:r>
      <w:r w:rsidR="00020F63" w:rsidRPr="0059550D">
        <w:rPr>
          <w:lang w:val="en-IE"/>
        </w:rPr>
        <w:t xml:space="preserve"> </w:t>
      </w:r>
      <w:r w:rsidR="00E10924">
        <w:rPr>
          <w:lang w:val="en-IE"/>
        </w:rPr>
        <w:t xml:space="preserve">prefilled </w:t>
      </w:r>
      <w:r w:rsidR="0002527E">
        <w:rPr>
          <w:lang w:val="en-IE"/>
        </w:rPr>
        <w:t>common</w:t>
      </w:r>
      <w:r w:rsidR="00E10924">
        <w:rPr>
          <w:lang w:val="en-IE"/>
        </w:rPr>
        <w:t xml:space="preserve"> answer without</w:t>
      </w:r>
      <w:r w:rsidR="00020F63" w:rsidRPr="0059550D">
        <w:rPr>
          <w:lang w:val="en-IE"/>
        </w:rPr>
        <w:t xml:space="preserve"> confirm</w:t>
      </w:r>
      <w:r w:rsidR="00DA4701">
        <w:rPr>
          <w:lang w:val="en-IE"/>
        </w:rPr>
        <w:t>ing</w:t>
      </w:r>
      <w:r w:rsidR="00965B6C">
        <w:rPr>
          <w:lang w:val="en-IE"/>
        </w:rPr>
        <w:t xml:space="preserve"> it</w:t>
      </w:r>
      <w:r w:rsidR="00ED6E12">
        <w:rPr>
          <w:lang w:val="en-IE"/>
        </w:rPr>
        <w:t xml:space="preserve">. </w:t>
      </w:r>
    </w:p>
    <w:p w14:paraId="75786527" w14:textId="77703459" w:rsidR="00B33490" w:rsidRPr="00553E31" w:rsidRDefault="00B33490" w:rsidP="00EB186D">
      <w:pPr>
        <w:pStyle w:val="Heading2"/>
        <w:numPr>
          <w:ilvl w:val="0"/>
          <w:numId w:val="79"/>
        </w:numPr>
        <w:rPr>
          <w:lang w:val="en-IE"/>
        </w:rPr>
      </w:pPr>
      <w:bookmarkStart w:id="87" w:name="_Toc25684110"/>
      <w:r w:rsidRPr="00553E31">
        <w:rPr>
          <w:lang w:val="en-IE"/>
        </w:rPr>
        <w:t>Linking</w:t>
      </w:r>
      <w:r w:rsidR="00F578CD" w:rsidRPr="00553E31">
        <w:rPr>
          <w:lang w:val="en-IE"/>
        </w:rPr>
        <w:t xml:space="preserve"> notice sections</w:t>
      </w:r>
      <w:bookmarkEnd w:id="87"/>
    </w:p>
    <w:p w14:paraId="3F630BC0" w14:textId="42ED5D34" w:rsidR="00B33490" w:rsidRDefault="00B33490" w:rsidP="00B33490">
      <w:pPr>
        <w:pStyle w:val="NoSpacing"/>
        <w:rPr>
          <w:lang w:val="en-IE"/>
        </w:rPr>
      </w:pPr>
    </w:p>
    <w:p w14:paraId="730E0DFB" w14:textId="57B1CA61" w:rsidR="00F578CD" w:rsidRPr="00164AD2" w:rsidRDefault="00F578CD" w:rsidP="00B33490">
      <w:pPr>
        <w:pStyle w:val="NoSpacing"/>
        <w:rPr>
          <w:lang w:val="en-IE"/>
        </w:rPr>
      </w:pPr>
      <w:r>
        <w:rPr>
          <w:lang w:val="en-IE"/>
        </w:rPr>
        <w:t>Parts of a notice need to be linked together. For example, various pieces of information need to be linked to the same lot; information about tenders needs to be submitted for a particular lot; contracts are concluded between organisations</w:t>
      </w:r>
      <w:r w:rsidR="00965B6C">
        <w:rPr>
          <w:lang w:val="en-IE"/>
        </w:rPr>
        <w:t xml:space="preserve"> whose</w:t>
      </w:r>
      <w:r>
        <w:rPr>
          <w:lang w:val="en-IE"/>
        </w:rPr>
        <w:t xml:space="preserve"> information is stored elsewhere in the notice, etc. There are two types of linking. In the first, </w:t>
      </w:r>
      <w:r w:rsidR="00164AD2">
        <w:rPr>
          <w:lang w:val="en-IE"/>
        </w:rPr>
        <w:t xml:space="preserve">information can only be linked to specific types of other information (e.g. lots, tenders, contracts). In the other, information can be </w:t>
      </w:r>
      <w:r w:rsidR="004C46A1">
        <w:rPr>
          <w:lang w:val="en-IE"/>
        </w:rPr>
        <w:t>flexibly</w:t>
      </w:r>
      <w:r w:rsidR="00724371">
        <w:rPr>
          <w:lang w:val="en-IE"/>
        </w:rPr>
        <w:t xml:space="preserve"> </w:t>
      </w:r>
      <w:r w:rsidR="00164AD2">
        <w:rPr>
          <w:lang w:val="en-IE"/>
        </w:rPr>
        <w:t xml:space="preserve">linked to any other information (e.g. organisations may be linked to different parts of the notice, as can information about strategic procurement, notice changes, contract modification, and review requests). </w:t>
      </w:r>
    </w:p>
    <w:p w14:paraId="39F5218D" w14:textId="575AE9A4" w:rsidR="00BD7CA6" w:rsidRPr="0059550D" w:rsidRDefault="00B30C06" w:rsidP="00EB186D">
      <w:pPr>
        <w:pStyle w:val="Heading3"/>
        <w:numPr>
          <w:ilvl w:val="1"/>
          <w:numId w:val="79"/>
        </w:numPr>
        <w:rPr>
          <w:lang w:val="en-IE"/>
        </w:rPr>
      </w:pPr>
      <w:bookmarkStart w:id="88" w:name="_Toc25684111"/>
      <w:r w:rsidRPr="0059550D">
        <w:rPr>
          <w:lang w:val="en-IE"/>
        </w:rPr>
        <w:t>Lots</w:t>
      </w:r>
      <w:bookmarkEnd w:id="88"/>
    </w:p>
    <w:p w14:paraId="63C42091" w14:textId="4B5FE0B2" w:rsidR="00B30C06" w:rsidRPr="0059550D" w:rsidRDefault="00B30C06" w:rsidP="00B30C06">
      <w:pPr>
        <w:pStyle w:val="NoSpacing"/>
        <w:rPr>
          <w:lang w:val="en-IE"/>
        </w:rPr>
      </w:pPr>
    </w:p>
    <w:p w14:paraId="56260AC2" w14:textId="2CF7C1C7" w:rsidR="00F72EBB" w:rsidRPr="0059550D" w:rsidRDefault="00F72EBB" w:rsidP="00B30C06">
      <w:pPr>
        <w:pStyle w:val="NoSpacing"/>
        <w:rPr>
          <w:lang w:val="en-IE"/>
        </w:rPr>
      </w:pPr>
      <w:r w:rsidRPr="0059550D">
        <w:rPr>
          <w:lang w:val="en-IE"/>
        </w:rPr>
        <w:t>Designers should explore the following topics:</w:t>
      </w:r>
    </w:p>
    <w:p w14:paraId="40E1594C" w14:textId="5AADC2AE" w:rsidR="00F72EBB" w:rsidRPr="0059550D" w:rsidRDefault="00F72EBB" w:rsidP="00DC6C47">
      <w:pPr>
        <w:pStyle w:val="NoSpacing"/>
        <w:numPr>
          <w:ilvl w:val="0"/>
          <w:numId w:val="35"/>
        </w:numPr>
        <w:rPr>
          <w:lang w:val="en-IE"/>
        </w:rPr>
      </w:pPr>
      <w:r w:rsidRPr="0059550D">
        <w:rPr>
          <w:lang w:val="en-IE"/>
        </w:rPr>
        <w:t xml:space="preserve">How does a user establish a procedure with multiple lots? For example, does he submit a “Number of lots”, does he click “This procedure is split into lots”, or does he click a “Copy into a new lot“ button? </w:t>
      </w:r>
    </w:p>
    <w:p w14:paraId="37D1C5FC" w14:textId="5EE249ED" w:rsidR="00F72EBB" w:rsidRPr="0059550D" w:rsidRDefault="00191D5E" w:rsidP="00DC6C47">
      <w:pPr>
        <w:pStyle w:val="NoSpacing"/>
        <w:numPr>
          <w:ilvl w:val="0"/>
          <w:numId w:val="35"/>
        </w:numPr>
        <w:rPr>
          <w:lang w:val="en-IE"/>
        </w:rPr>
      </w:pPr>
      <w:r w:rsidRPr="0059550D">
        <w:rPr>
          <w:lang w:val="en-IE"/>
        </w:rPr>
        <w:t>How are lot</w:t>
      </w:r>
      <w:r w:rsidR="006B2388">
        <w:rPr>
          <w:lang w:val="en-IE"/>
        </w:rPr>
        <w:t>s</w:t>
      </w:r>
      <w:r w:rsidRPr="0059550D">
        <w:rPr>
          <w:lang w:val="en-IE"/>
        </w:rPr>
        <w:t xml:space="preserve"> named, i.e. what are the lot identifiers? Are they </w:t>
      </w:r>
      <w:r w:rsidR="00F72EBB" w:rsidRPr="0059550D">
        <w:rPr>
          <w:lang w:val="en-IE"/>
        </w:rPr>
        <w:t xml:space="preserve">user-written, </w:t>
      </w:r>
      <w:r w:rsidRPr="0059550D">
        <w:rPr>
          <w:lang w:val="en-IE"/>
        </w:rPr>
        <w:t>system suggested &amp; user-confirmed, or system written</w:t>
      </w:r>
      <w:r w:rsidR="00F72EBB" w:rsidRPr="0059550D">
        <w:rPr>
          <w:lang w:val="en-IE"/>
        </w:rPr>
        <w:t xml:space="preserve">? For example, </w:t>
      </w:r>
      <w:r w:rsidRPr="0059550D">
        <w:rPr>
          <w:lang w:val="en-IE"/>
        </w:rPr>
        <w:t xml:space="preserve">lots may be system-suggested or – written as </w:t>
      </w:r>
      <w:r w:rsidR="00F72EBB" w:rsidRPr="0059550D">
        <w:rPr>
          <w:lang w:val="en-IE"/>
        </w:rPr>
        <w:t xml:space="preserve">numbers (“1”,”2”,”3”) or by concatenating other </w:t>
      </w:r>
      <w:r w:rsidRPr="0059550D">
        <w:rPr>
          <w:lang w:val="en-IE"/>
        </w:rPr>
        <w:t>data</w:t>
      </w:r>
      <w:r w:rsidR="00F72EBB" w:rsidRPr="0059550D">
        <w:rPr>
          <w:lang w:val="en-IE"/>
        </w:rPr>
        <w:t xml:space="preserve"> (e.g. “Lot 1 – Cars – Brussels”). The format of lots typically depends also on other eProcurement systems. </w:t>
      </w:r>
    </w:p>
    <w:p w14:paraId="743F8189" w14:textId="07E79319" w:rsidR="00020F63" w:rsidRPr="0059550D" w:rsidRDefault="0082458C" w:rsidP="00DC6C47">
      <w:pPr>
        <w:pStyle w:val="NoSpacing"/>
        <w:numPr>
          <w:ilvl w:val="0"/>
          <w:numId w:val="35"/>
        </w:numPr>
        <w:rPr>
          <w:lang w:val="en-IE"/>
        </w:rPr>
      </w:pPr>
      <w:r w:rsidRPr="0059550D">
        <w:rPr>
          <w:lang w:val="en-IE"/>
        </w:rPr>
        <w:t>Once lots are established, how are sections linked to individual lots? For example, they can choose one or more identifiers from a drop down menu, they can drag and drop sections to identifiers, they can type in identifiers. Alternatively, they can write all the information concerning a single a lot in a row and this will implicitly relate only to a single lot. Furthermore, it is important to be able to copy information from lot to lot (e.g. if everything is the same except purpose, duration, or place of delivery). This is especially the case for procedures with hundreds or thousands of lots, such as those run by central purchasing bodies or in the medical sector.</w:t>
      </w:r>
    </w:p>
    <w:p w14:paraId="7C0E8FC4" w14:textId="763CC0C6" w:rsidR="00FB315E" w:rsidRPr="0059550D" w:rsidRDefault="00FB315E" w:rsidP="00EB186D">
      <w:pPr>
        <w:pStyle w:val="Heading3"/>
        <w:numPr>
          <w:ilvl w:val="1"/>
          <w:numId w:val="79"/>
        </w:numPr>
        <w:rPr>
          <w:lang w:val="en-IE"/>
        </w:rPr>
      </w:pPr>
      <w:bookmarkStart w:id="89" w:name="_Toc25684112"/>
      <w:r w:rsidRPr="0059550D">
        <w:rPr>
          <w:lang w:val="en-IE"/>
        </w:rPr>
        <w:t>Tenders &amp; Contracts</w:t>
      </w:r>
      <w:bookmarkEnd w:id="89"/>
      <w:r w:rsidRPr="0059550D">
        <w:rPr>
          <w:lang w:val="en-IE"/>
        </w:rPr>
        <w:t xml:space="preserve"> </w:t>
      </w:r>
    </w:p>
    <w:p w14:paraId="5712C575" w14:textId="66F612B7" w:rsidR="00552704" w:rsidRPr="0059550D" w:rsidRDefault="0082458C" w:rsidP="0082458C">
      <w:pPr>
        <w:pStyle w:val="NoSpacing"/>
        <w:rPr>
          <w:lang w:val="en-IE"/>
        </w:rPr>
      </w:pPr>
      <w:r w:rsidRPr="0059550D">
        <w:rPr>
          <w:lang w:val="en-IE"/>
        </w:rPr>
        <w:t>Tenders are submitted for lots</w:t>
      </w:r>
      <w:r w:rsidR="00FD55C5">
        <w:rPr>
          <w:lang w:val="en-IE"/>
        </w:rPr>
        <w:t xml:space="preserve"> or groups of lots</w:t>
      </w:r>
      <w:r w:rsidRPr="0059550D">
        <w:rPr>
          <w:lang w:val="en-IE"/>
        </w:rPr>
        <w:t xml:space="preserve">, and contracts are signed on the basis of submitted tenders. eForms follows this practice, i.e. tenders must be linked to lots and contracts to tenders. </w:t>
      </w:r>
      <w:r w:rsidR="00552704" w:rsidRPr="0059550D">
        <w:rPr>
          <w:lang w:val="en-IE"/>
        </w:rPr>
        <w:t xml:space="preserve">Typically, a single </w:t>
      </w:r>
      <w:r w:rsidR="000A2664" w:rsidRPr="0059550D">
        <w:rPr>
          <w:lang w:val="en-IE"/>
        </w:rPr>
        <w:t>winning tender</w:t>
      </w:r>
      <w:r w:rsidR="00552704" w:rsidRPr="0059550D">
        <w:rPr>
          <w:lang w:val="en-IE"/>
        </w:rPr>
        <w:t xml:space="preserve"> </w:t>
      </w:r>
      <w:r w:rsidR="007C19E8">
        <w:rPr>
          <w:lang w:val="en-IE"/>
        </w:rPr>
        <w:t xml:space="preserve">is </w:t>
      </w:r>
      <w:r w:rsidR="000A2664" w:rsidRPr="0059550D">
        <w:rPr>
          <w:lang w:val="en-IE"/>
        </w:rPr>
        <w:t xml:space="preserve">submitted for </w:t>
      </w:r>
      <w:r w:rsidR="00552704" w:rsidRPr="0059550D">
        <w:rPr>
          <w:lang w:val="en-IE"/>
        </w:rPr>
        <w:t>a single lot</w:t>
      </w:r>
      <w:r w:rsidR="000A2664" w:rsidRPr="0059550D">
        <w:rPr>
          <w:lang w:val="en-IE"/>
        </w:rPr>
        <w:t xml:space="preserve"> and this winning tender will result in a single contract</w:t>
      </w:r>
      <w:r w:rsidR="00552704" w:rsidRPr="0059550D">
        <w:rPr>
          <w:lang w:val="en-IE"/>
        </w:rPr>
        <w:t xml:space="preserve">. However, in the case of </w:t>
      </w:r>
      <w:r w:rsidR="00882C91" w:rsidRPr="0059550D">
        <w:rPr>
          <w:lang w:val="en-IE"/>
        </w:rPr>
        <w:t xml:space="preserve">framework agreements with multiple participants, design </w:t>
      </w:r>
      <w:r w:rsidR="00882C91" w:rsidRPr="0059550D">
        <w:rPr>
          <w:lang w:val="en-IE"/>
        </w:rPr>
        <w:lastRenderedPageBreak/>
        <w:t>contests, innovati</w:t>
      </w:r>
      <w:r w:rsidR="00942EBF">
        <w:rPr>
          <w:lang w:val="en-IE"/>
        </w:rPr>
        <w:t>on</w:t>
      </w:r>
      <w:r w:rsidR="00882C91" w:rsidRPr="0059550D">
        <w:rPr>
          <w:lang w:val="en-IE"/>
        </w:rPr>
        <w:t xml:space="preserve"> partnerships and competitive dialogues</w:t>
      </w:r>
      <w:r w:rsidR="00882C91" w:rsidRPr="0059550D">
        <w:rPr>
          <w:rStyle w:val="FootnoteReference"/>
          <w:lang w:val="en-IE"/>
        </w:rPr>
        <w:footnoteReference w:id="96"/>
      </w:r>
      <w:r w:rsidR="00882C91" w:rsidRPr="0059550D">
        <w:rPr>
          <w:lang w:val="en-IE"/>
        </w:rPr>
        <w:t xml:space="preserve">, there can be multiple </w:t>
      </w:r>
      <w:r w:rsidR="000A2664" w:rsidRPr="0059550D">
        <w:rPr>
          <w:lang w:val="en-IE"/>
        </w:rPr>
        <w:t xml:space="preserve">winning tenders for a single lot, each of which would lead to a single contract. Furthermore, in some cases, depending on national administrative culture, public authorities sign a single contract for multiple winning tenders. This may be the case for example when a single tenderer wins multiple lots, or when multiple tenderers in a framework agreement all sign a single contract. </w:t>
      </w:r>
    </w:p>
    <w:p w14:paraId="40C8538D" w14:textId="7532DE56" w:rsidR="0082458C" w:rsidRPr="0059550D" w:rsidRDefault="0082458C" w:rsidP="0082458C">
      <w:pPr>
        <w:pStyle w:val="NoSpacing"/>
        <w:rPr>
          <w:lang w:val="en-IE"/>
        </w:rPr>
      </w:pPr>
    </w:p>
    <w:p w14:paraId="184A7426" w14:textId="77777777" w:rsidR="0082458C" w:rsidRPr="0059550D" w:rsidRDefault="0082458C" w:rsidP="0082458C">
      <w:pPr>
        <w:pStyle w:val="NoSpacing"/>
        <w:rPr>
          <w:lang w:val="en-IE"/>
        </w:rPr>
      </w:pPr>
      <w:r w:rsidRPr="0059550D">
        <w:rPr>
          <w:lang w:val="en-IE"/>
        </w:rPr>
        <w:t>Designers should explore the following topics:</w:t>
      </w:r>
    </w:p>
    <w:p w14:paraId="5F307E0E" w14:textId="4AEC9865" w:rsidR="000A2664" w:rsidRPr="0059550D" w:rsidRDefault="000A2664" w:rsidP="00DC6C47">
      <w:pPr>
        <w:pStyle w:val="NoSpacing"/>
        <w:numPr>
          <w:ilvl w:val="0"/>
          <w:numId w:val="36"/>
        </w:numPr>
        <w:rPr>
          <w:lang w:val="en-IE"/>
        </w:rPr>
      </w:pPr>
      <w:r w:rsidRPr="0059550D">
        <w:rPr>
          <w:lang w:val="en-IE"/>
        </w:rPr>
        <w:t>How are lots, tenders, and contracts connected? Ideally, tenders are connected with lots based on eSubmission meta-data. If it needs to be done manually, users can</w:t>
      </w:r>
      <w:r w:rsidR="008C6B25" w:rsidRPr="0059550D">
        <w:rPr>
          <w:lang w:val="en-IE"/>
        </w:rPr>
        <w:t>, for example,</w:t>
      </w:r>
      <w:r w:rsidRPr="0059550D">
        <w:rPr>
          <w:lang w:val="en-IE"/>
        </w:rPr>
        <w:t xml:space="preserve"> drag and drop, choose identifiers from a drop down menu, or type in identifiers. </w:t>
      </w:r>
    </w:p>
    <w:p w14:paraId="692CEA50" w14:textId="3C266C37" w:rsidR="00B33490" w:rsidRPr="00843CC2" w:rsidRDefault="000A2664" w:rsidP="009C1349">
      <w:pPr>
        <w:pStyle w:val="NoSpacing"/>
        <w:numPr>
          <w:ilvl w:val="0"/>
          <w:numId w:val="36"/>
        </w:numPr>
        <w:rPr>
          <w:rFonts w:cstheme="minorHAnsi"/>
          <w:lang w:val="en-IE"/>
        </w:rPr>
      </w:pPr>
      <w:r w:rsidRPr="0059550D">
        <w:rPr>
          <w:lang w:val="en-IE"/>
        </w:rPr>
        <w:t xml:space="preserve">How </w:t>
      </w:r>
      <w:r w:rsidR="0059550D" w:rsidRPr="0059550D">
        <w:rPr>
          <w:lang w:val="en-IE"/>
        </w:rPr>
        <w:t xml:space="preserve">to deal with situations where a contract needs to be linked to many </w:t>
      </w:r>
      <w:r w:rsidR="00FE5BAA">
        <w:rPr>
          <w:lang w:val="en-IE"/>
        </w:rPr>
        <w:t>t</w:t>
      </w:r>
      <w:r w:rsidR="0059550D" w:rsidRPr="0059550D">
        <w:rPr>
          <w:lang w:val="en-IE"/>
        </w:rPr>
        <w:t xml:space="preserve">enders – e.g. where a tender is submitted for hundreds of lots where each deals with a different medical chemical substance. Should lot numbers be submitted as individual numbers </w:t>
      </w:r>
      <w:r w:rsidR="00FB315E" w:rsidRPr="0059550D">
        <w:rPr>
          <w:rFonts w:cstheme="minorHAnsi"/>
          <w:color w:val="000000"/>
          <w:shd w:val="clear" w:color="auto" w:fill="FFFFFF"/>
          <w:lang w:val="en-IE"/>
        </w:rPr>
        <w:t>("1,2,5,...")</w:t>
      </w:r>
      <w:r w:rsidR="0059550D">
        <w:rPr>
          <w:rFonts w:cstheme="minorHAnsi"/>
          <w:color w:val="000000"/>
          <w:shd w:val="clear" w:color="auto" w:fill="FFFFFF"/>
          <w:lang w:val="en-IE"/>
        </w:rPr>
        <w:t>,</w:t>
      </w:r>
      <w:r w:rsidR="00FB315E" w:rsidRPr="0059550D">
        <w:rPr>
          <w:rFonts w:cstheme="minorHAnsi"/>
          <w:color w:val="000000"/>
          <w:shd w:val="clear" w:color="auto" w:fill="FFFFFF"/>
          <w:lang w:val="en-IE"/>
        </w:rPr>
        <w:t xml:space="preserve"> as </w:t>
      </w:r>
      <w:r w:rsidR="0059550D">
        <w:rPr>
          <w:rFonts w:cstheme="minorHAnsi"/>
          <w:color w:val="000000"/>
          <w:shd w:val="clear" w:color="auto" w:fill="FFFFFF"/>
          <w:lang w:val="en-IE"/>
        </w:rPr>
        <w:t>intervals ("25-200", "205-600")?</w:t>
      </w:r>
      <w:r w:rsidR="00FB315E" w:rsidRPr="0059550D">
        <w:rPr>
          <w:rFonts w:cstheme="minorHAnsi"/>
          <w:color w:val="000000"/>
          <w:shd w:val="clear" w:color="auto" w:fill="FFFFFF"/>
          <w:lang w:val="en-IE"/>
        </w:rPr>
        <w:t xml:space="preserve"> </w:t>
      </w:r>
    </w:p>
    <w:p w14:paraId="38A0A928" w14:textId="18F8014D" w:rsidR="00843CC2" w:rsidRPr="009C1349" w:rsidRDefault="00843CC2" w:rsidP="009C1349">
      <w:pPr>
        <w:pStyle w:val="NoSpacing"/>
        <w:numPr>
          <w:ilvl w:val="0"/>
          <w:numId w:val="36"/>
        </w:numPr>
        <w:rPr>
          <w:rFonts w:cstheme="minorHAnsi"/>
          <w:lang w:val="en-IE"/>
        </w:rPr>
      </w:pPr>
      <w:r>
        <w:rPr>
          <w:rFonts w:cstheme="minorHAnsi"/>
          <w:lang w:val="en-IE"/>
        </w:rPr>
        <w:t>How should users report on quarterly grouped contracts from dynamic purchasing systems and, if applicable, for framework agreements?</w:t>
      </w:r>
      <w:r>
        <w:rPr>
          <w:rStyle w:val="FootnoteReference"/>
          <w:rFonts w:cstheme="minorHAnsi"/>
          <w:lang w:val="en-IE"/>
        </w:rPr>
        <w:footnoteReference w:id="97"/>
      </w:r>
      <w:r>
        <w:rPr>
          <w:rFonts w:cstheme="minorHAnsi"/>
          <w:lang w:val="en-IE"/>
        </w:rPr>
        <w:t xml:space="preserve"> </w:t>
      </w:r>
    </w:p>
    <w:p w14:paraId="2ACA07A9" w14:textId="6BC7430B" w:rsidR="001772C2" w:rsidRPr="0059550D" w:rsidRDefault="001772C2" w:rsidP="00EB186D">
      <w:pPr>
        <w:pStyle w:val="Heading3"/>
        <w:numPr>
          <w:ilvl w:val="1"/>
          <w:numId w:val="79"/>
        </w:numPr>
        <w:rPr>
          <w:lang w:val="en-IE"/>
        </w:rPr>
      </w:pPr>
      <w:bookmarkStart w:id="90" w:name="_Toc25684113"/>
      <w:r w:rsidRPr="0059550D">
        <w:rPr>
          <w:lang w:val="en-IE"/>
        </w:rPr>
        <w:t>Organisations</w:t>
      </w:r>
      <w:bookmarkEnd w:id="90"/>
      <w:r w:rsidRPr="0059550D">
        <w:rPr>
          <w:lang w:val="en-IE"/>
        </w:rPr>
        <w:t xml:space="preserve"> </w:t>
      </w:r>
    </w:p>
    <w:p w14:paraId="78A39603" w14:textId="77777777" w:rsidR="001772C2" w:rsidRPr="0059550D" w:rsidRDefault="001772C2" w:rsidP="001772C2">
      <w:pPr>
        <w:pStyle w:val="NoSpacing"/>
        <w:rPr>
          <w:lang w:val="en-IE"/>
        </w:rPr>
      </w:pPr>
    </w:p>
    <w:p w14:paraId="28D90BDA" w14:textId="40F6B509" w:rsidR="00DC6C47" w:rsidRPr="0059550D" w:rsidRDefault="00C30B65" w:rsidP="00DC6C47">
      <w:pPr>
        <w:pStyle w:val="NoSpacing"/>
        <w:rPr>
          <w:lang w:val="en-IE"/>
        </w:rPr>
      </w:pPr>
      <w:r w:rsidRPr="0059550D">
        <w:rPr>
          <w:lang w:val="en-IE"/>
        </w:rPr>
        <w:t>In eForms, information about all organisations is stored in one place and differentiated by Organisation Role (BT-08) and/or the Organisation Subrole (BT-770).</w:t>
      </w:r>
      <w:r w:rsidR="00DC6C47" w:rsidRPr="0059550D">
        <w:rPr>
          <w:lang w:val="en-IE"/>
        </w:rPr>
        <w:t xml:space="preserve"> Designers should explore the foll</w:t>
      </w:r>
      <w:r w:rsidR="00E85C85" w:rsidRPr="0059550D">
        <w:rPr>
          <w:lang w:val="en-IE"/>
        </w:rPr>
        <w:t>owing:</w:t>
      </w:r>
    </w:p>
    <w:p w14:paraId="6B3CE350" w14:textId="10D54C7C" w:rsidR="00DC6C47" w:rsidRPr="0059550D" w:rsidRDefault="00DC6C47" w:rsidP="00730301">
      <w:pPr>
        <w:pStyle w:val="NoSpacing"/>
        <w:numPr>
          <w:ilvl w:val="0"/>
          <w:numId w:val="38"/>
        </w:numPr>
        <w:rPr>
          <w:lang w:val="en-IE"/>
        </w:rPr>
      </w:pPr>
      <w:r w:rsidRPr="0059550D">
        <w:rPr>
          <w:lang w:val="en-IE"/>
        </w:rPr>
        <w:t>How to fill in information about organisations? Ideally, information should come from business registries or be prefilled from buyer profiles and previous procedures. However, if some part of it needs to be done manually, how can it be simplified? For example, can the post code be used to prefill the NUTS code and the country</w:t>
      </w:r>
      <w:r w:rsidR="0017279B">
        <w:rPr>
          <w:rStyle w:val="FootnoteReference"/>
          <w:lang w:val="en-IE"/>
        </w:rPr>
        <w:footnoteReference w:id="98"/>
      </w:r>
      <w:r w:rsidRPr="0059550D">
        <w:rPr>
          <w:lang w:val="en-IE"/>
        </w:rPr>
        <w:t xml:space="preserve">? </w:t>
      </w:r>
    </w:p>
    <w:p w14:paraId="346FF08B" w14:textId="77777777" w:rsidR="00C30B65" w:rsidRPr="0059550D" w:rsidRDefault="00C30B65" w:rsidP="001772C2">
      <w:pPr>
        <w:pStyle w:val="NoSpacing"/>
        <w:rPr>
          <w:lang w:val="en-IE"/>
        </w:rPr>
      </w:pPr>
    </w:p>
    <w:p w14:paraId="3B9E4BFD" w14:textId="3A2829B5" w:rsidR="00841A18" w:rsidRPr="00841A18" w:rsidRDefault="001772C2" w:rsidP="001772C2">
      <w:pPr>
        <w:pStyle w:val="NoSpacing"/>
        <w:rPr>
          <w:lang w:val="en-IE"/>
        </w:rPr>
      </w:pPr>
      <w:r w:rsidRPr="0059550D">
        <w:rPr>
          <w:lang w:val="en-IE"/>
        </w:rPr>
        <w:t>Organisations can be linked to different parts of the notice</w:t>
      </w:r>
      <w:r w:rsidR="00C90844" w:rsidRPr="0059550D">
        <w:rPr>
          <w:lang w:val="en-IE"/>
        </w:rPr>
        <w:t xml:space="preserve"> (using Organisation Notice Section Identifier BT-13720). When this needs to be done depends on the specific code in Organisation Role (BT-08) and/or the Organisation Subrole (BT-770). </w:t>
      </w:r>
      <w:r w:rsidR="007975AB" w:rsidRPr="0059550D">
        <w:rPr>
          <w:lang w:val="en-IE"/>
        </w:rPr>
        <w:t>Note that for most procedures, the references will either not be needed or they will be straightforward. However, eForms also allows modelling all other cases possible under the directives</w:t>
      </w:r>
      <w:r w:rsidR="00EE226B">
        <w:rPr>
          <w:lang w:val="en-IE"/>
        </w:rPr>
        <w:t xml:space="preserve"> which are listed</w:t>
      </w:r>
      <w:r w:rsidR="00DD34EF">
        <w:rPr>
          <w:lang w:val="en-IE"/>
        </w:rPr>
        <w:t xml:space="preserve"> below</w:t>
      </w:r>
      <w:r w:rsidR="007975AB" w:rsidRPr="0059550D">
        <w:rPr>
          <w:lang w:val="en-IE"/>
        </w:rPr>
        <w:t xml:space="preserve">. </w:t>
      </w:r>
    </w:p>
    <w:p w14:paraId="211F3614" w14:textId="7D8FC8DE" w:rsidR="002975B2" w:rsidRPr="00FA39C8" w:rsidRDefault="002975B2" w:rsidP="001772C2">
      <w:pPr>
        <w:pStyle w:val="NoSpacing"/>
        <w:rPr>
          <w:lang w:val="en-US"/>
        </w:rPr>
      </w:pPr>
    </w:p>
    <w:p w14:paraId="1019F612" w14:textId="35B965A4" w:rsidR="002975B2" w:rsidRPr="0059550D" w:rsidRDefault="002975B2" w:rsidP="001772C2">
      <w:pPr>
        <w:pStyle w:val="NoSpacing"/>
        <w:rPr>
          <w:rFonts w:cstheme="minorHAnsi"/>
          <w:lang w:val="en-IE"/>
        </w:rPr>
      </w:pPr>
      <w:r w:rsidRPr="0059550D">
        <w:rPr>
          <w:rFonts w:cstheme="minorHAnsi"/>
          <w:lang w:val="en-IE"/>
        </w:rPr>
        <w:t xml:space="preserve">In case of Organisation Role (BT-08): </w:t>
      </w:r>
    </w:p>
    <w:p w14:paraId="4B474FF6" w14:textId="7EAA77FA" w:rsidR="00C90844" w:rsidRPr="0059550D" w:rsidRDefault="00C90844" w:rsidP="00BF42DB">
      <w:pPr>
        <w:numPr>
          <w:ilvl w:val="0"/>
          <w:numId w:val="37"/>
        </w:numPr>
        <w:shd w:val="clear" w:color="auto" w:fill="FFFFFF"/>
        <w:spacing w:before="100" w:beforeAutospacing="1" w:after="100" w:afterAutospacing="1"/>
        <w:jc w:val="both"/>
        <w:rPr>
          <w:rFonts w:eastAsia="Times New Roman" w:cstheme="minorHAnsi"/>
          <w:lang w:val="en-IE"/>
        </w:rPr>
      </w:pPr>
      <w:r w:rsidRPr="0059550D">
        <w:rPr>
          <w:rFonts w:eastAsia="Times New Roman" w:cstheme="minorHAnsi"/>
          <w:lang w:val="en-IE"/>
        </w:rPr>
        <w:t xml:space="preserve">Winner or Tenderer </w:t>
      </w:r>
      <w:r w:rsidR="007975AB" w:rsidRPr="0059550D">
        <w:rPr>
          <w:rFonts w:eastAsia="Times New Roman" w:cstheme="minorHAnsi"/>
          <w:lang w:val="en-IE"/>
        </w:rPr>
        <w:t xml:space="preserve">must refer to one or more Tender – the one it submitted. </w:t>
      </w:r>
    </w:p>
    <w:p w14:paraId="3B7DDE32" w14:textId="2AE3076A" w:rsidR="00C90844" w:rsidRPr="001772C2" w:rsidRDefault="001772C2" w:rsidP="00BF42DB">
      <w:pPr>
        <w:numPr>
          <w:ilvl w:val="0"/>
          <w:numId w:val="37"/>
        </w:numPr>
        <w:shd w:val="clear" w:color="auto" w:fill="FFFFFF"/>
        <w:spacing w:before="60" w:beforeAutospacing="1" w:after="100" w:afterAutospacing="1"/>
        <w:jc w:val="both"/>
        <w:rPr>
          <w:rFonts w:eastAsia="Times New Roman" w:cstheme="minorHAnsi"/>
          <w:lang w:val="en-IE"/>
        </w:rPr>
      </w:pPr>
      <w:r w:rsidRPr="001772C2">
        <w:rPr>
          <w:rFonts w:eastAsia="Times New Roman" w:cstheme="minorHAnsi"/>
          <w:lang w:val="en-IE"/>
        </w:rPr>
        <w:t>Buyer</w:t>
      </w:r>
      <w:r w:rsidR="007975AB" w:rsidRPr="0059550D">
        <w:rPr>
          <w:rFonts w:eastAsia="Times New Roman" w:cstheme="minorHAnsi"/>
          <w:lang w:val="en-IE"/>
        </w:rPr>
        <w:t>, p</w:t>
      </w:r>
      <w:r w:rsidRPr="001772C2">
        <w:rPr>
          <w:rFonts w:eastAsia="Times New Roman" w:cstheme="minorHAnsi"/>
          <w:lang w:val="en-IE"/>
        </w:rPr>
        <w:t xml:space="preserve">rocurement service provider </w:t>
      </w:r>
      <w:r w:rsidR="007975AB" w:rsidRPr="0059550D">
        <w:rPr>
          <w:rFonts w:eastAsia="Times New Roman" w:cstheme="minorHAnsi"/>
          <w:lang w:val="en-IE"/>
        </w:rPr>
        <w:t>and, hypothetically, central purchasing bodies</w:t>
      </w:r>
      <w:r w:rsidRPr="001772C2">
        <w:rPr>
          <w:rFonts w:eastAsia="Times New Roman" w:cstheme="minorHAnsi"/>
          <w:lang w:val="en-IE"/>
        </w:rPr>
        <w:t xml:space="preserve"> </w:t>
      </w:r>
      <w:r w:rsidR="007975AB" w:rsidRPr="0059550D">
        <w:rPr>
          <w:rFonts w:eastAsia="Times New Roman" w:cstheme="minorHAnsi"/>
          <w:lang w:val="en-IE"/>
        </w:rPr>
        <w:t xml:space="preserve">may refer to one or more lots. This could be the case </w:t>
      </w:r>
      <w:r w:rsidR="00942EBF">
        <w:rPr>
          <w:rFonts w:eastAsia="Times New Roman" w:cstheme="minorHAnsi"/>
          <w:lang w:val="en-IE"/>
        </w:rPr>
        <w:t>for</w:t>
      </w:r>
      <w:r w:rsidR="007975AB" w:rsidRPr="0059550D">
        <w:rPr>
          <w:rFonts w:eastAsia="Times New Roman" w:cstheme="minorHAnsi"/>
          <w:lang w:val="en-IE"/>
        </w:rPr>
        <w:t xml:space="preserve"> joint procurement (incl. joint procurement of central purchasing bodies), where certain lots would be used only by certain buyers or central purchasing bodies or supported only by certain procurement service providers. Furthermore, all three above-mentioned roles could also differ per contract, in cases whe</w:t>
      </w:r>
      <w:r w:rsidR="00942EBF">
        <w:rPr>
          <w:rFonts w:eastAsia="Times New Roman" w:cstheme="minorHAnsi"/>
          <w:lang w:val="en-IE"/>
        </w:rPr>
        <w:t>re</w:t>
      </w:r>
      <w:r w:rsidR="007975AB" w:rsidRPr="0059550D">
        <w:rPr>
          <w:rFonts w:eastAsia="Times New Roman" w:cstheme="minorHAnsi"/>
          <w:lang w:val="en-IE"/>
        </w:rPr>
        <w:t xml:space="preserve"> notices are being published about contracts within framework agreements (e.g. certain buyers in a contract award notice will be signing certain contracts, other buyers other contracts). </w:t>
      </w:r>
    </w:p>
    <w:p w14:paraId="6479F035" w14:textId="5F61129E" w:rsidR="001772C2" w:rsidRPr="0059550D" w:rsidRDefault="001772C2" w:rsidP="00BF42DB">
      <w:pPr>
        <w:numPr>
          <w:ilvl w:val="0"/>
          <w:numId w:val="37"/>
        </w:numPr>
        <w:shd w:val="clear" w:color="auto" w:fill="FFFFFF"/>
        <w:spacing w:before="60" w:after="100" w:afterAutospacing="1"/>
        <w:jc w:val="both"/>
        <w:rPr>
          <w:rFonts w:eastAsia="Times New Roman" w:cstheme="minorHAnsi"/>
          <w:lang w:val="en-IE"/>
        </w:rPr>
      </w:pPr>
      <w:r w:rsidRPr="001772C2">
        <w:rPr>
          <w:rFonts w:eastAsia="Times New Roman" w:cstheme="minorHAnsi"/>
          <w:lang w:val="en-IE"/>
        </w:rPr>
        <w:t>Subcontractor</w:t>
      </w:r>
      <w:r w:rsidR="007975AB" w:rsidRPr="0059550D">
        <w:rPr>
          <w:rFonts w:eastAsia="Times New Roman" w:cstheme="minorHAnsi"/>
          <w:lang w:val="en-IE"/>
        </w:rPr>
        <w:t>s</w:t>
      </w:r>
      <w:r w:rsidR="00BE21D0" w:rsidRPr="0059550D">
        <w:rPr>
          <w:rFonts w:eastAsia="Times New Roman" w:cstheme="minorHAnsi"/>
          <w:lang w:val="en-IE"/>
        </w:rPr>
        <w:t xml:space="preserve"> (if given)</w:t>
      </w:r>
      <w:r w:rsidR="007975AB" w:rsidRPr="0059550D">
        <w:rPr>
          <w:rFonts w:eastAsia="Times New Roman" w:cstheme="minorHAnsi"/>
          <w:lang w:val="en-IE"/>
        </w:rPr>
        <w:t xml:space="preserve"> </w:t>
      </w:r>
      <w:r w:rsidR="00BE21D0" w:rsidRPr="0059550D">
        <w:rPr>
          <w:rFonts w:eastAsia="Times New Roman" w:cstheme="minorHAnsi"/>
          <w:lang w:val="en-IE"/>
        </w:rPr>
        <w:t xml:space="preserve">may </w:t>
      </w:r>
      <w:r w:rsidR="007975AB" w:rsidRPr="0059550D">
        <w:rPr>
          <w:rFonts w:eastAsia="Times New Roman" w:cstheme="minorHAnsi"/>
          <w:lang w:val="en-IE"/>
        </w:rPr>
        <w:t>refer to the T</w:t>
      </w:r>
      <w:r w:rsidRPr="001772C2">
        <w:rPr>
          <w:rFonts w:eastAsia="Times New Roman" w:cstheme="minorHAnsi"/>
          <w:lang w:val="en-IE"/>
        </w:rPr>
        <w:t>ender</w:t>
      </w:r>
      <w:r w:rsidR="007975AB" w:rsidRPr="0059550D">
        <w:rPr>
          <w:rFonts w:eastAsia="Times New Roman" w:cstheme="minorHAnsi"/>
          <w:lang w:val="en-IE"/>
        </w:rPr>
        <w:t>(s)</w:t>
      </w:r>
      <w:r w:rsidRPr="001772C2">
        <w:rPr>
          <w:rFonts w:eastAsia="Times New Roman" w:cstheme="minorHAnsi"/>
          <w:lang w:val="en-IE"/>
        </w:rPr>
        <w:t xml:space="preserve"> </w:t>
      </w:r>
      <w:r w:rsidR="007975AB" w:rsidRPr="0059550D">
        <w:rPr>
          <w:rFonts w:eastAsia="Times New Roman" w:cstheme="minorHAnsi"/>
          <w:lang w:val="en-IE"/>
        </w:rPr>
        <w:t xml:space="preserve">and, in case of consortia, to the Winner(s) for which they will subcontract. </w:t>
      </w:r>
    </w:p>
    <w:p w14:paraId="6974E2AE" w14:textId="744BAEFB" w:rsidR="00BE21D0" w:rsidRPr="0059550D" w:rsidRDefault="00BE21D0" w:rsidP="00BF42DB">
      <w:pPr>
        <w:numPr>
          <w:ilvl w:val="0"/>
          <w:numId w:val="37"/>
        </w:numPr>
        <w:shd w:val="clear" w:color="auto" w:fill="FFFFFF"/>
        <w:spacing w:before="60" w:after="100" w:afterAutospacing="1"/>
        <w:jc w:val="both"/>
        <w:rPr>
          <w:rFonts w:eastAsia="Times New Roman" w:cstheme="minorHAnsi"/>
          <w:lang w:val="en-IE"/>
        </w:rPr>
      </w:pPr>
      <w:r w:rsidRPr="0059550D">
        <w:rPr>
          <w:rFonts w:eastAsia="Times New Roman" w:cstheme="minorHAnsi"/>
          <w:lang w:val="en-IE"/>
        </w:rPr>
        <w:lastRenderedPageBreak/>
        <w:t xml:space="preserve">A mediation body would typically be the same for any contract falling under a procedure. However, in theory, a mediation body can be specified per lot or per contract. </w:t>
      </w:r>
    </w:p>
    <w:p w14:paraId="43F011AF" w14:textId="0A27B2CB" w:rsidR="00BE21D0" w:rsidRPr="0059550D" w:rsidRDefault="00BE21D0" w:rsidP="00BF42DB">
      <w:pPr>
        <w:numPr>
          <w:ilvl w:val="0"/>
          <w:numId w:val="37"/>
        </w:numPr>
        <w:shd w:val="clear" w:color="auto" w:fill="FFFFFF"/>
        <w:spacing w:before="60" w:after="100" w:afterAutospacing="1"/>
        <w:jc w:val="both"/>
        <w:rPr>
          <w:rFonts w:eastAsia="Times New Roman" w:cstheme="minorHAnsi"/>
          <w:lang w:val="en-IE"/>
        </w:rPr>
      </w:pPr>
      <w:r w:rsidRPr="0059550D">
        <w:rPr>
          <w:rFonts w:eastAsia="Times New Roman" w:cstheme="minorHAnsi"/>
          <w:lang w:val="en-IE"/>
        </w:rPr>
        <w:t xml:space="preserve">Review </w:t>
      </w:r>
      <w:r w:rsidR="001772C2" w:rsidRPr="001772C2">
        <w:rPr>
          <w:rFonts w:eastAsia="Times New Roman" w:cstheme="minorHAnsi"/>
          <w:lang w:val="en-IE"/>
        </w:rPr>
        <w:t>organization</w:t>
      </w:r>
      <w:r w:rsidRPr="0059550D">
        <w:rPr>
          <w:rFonts w:eastAsia="Times New Roman" w:cstheme="minorHAnsi"/>
          <w:lang w:val="en-IE"/>
        </w:rPr>
        <w:t xml:space="preserve">s would typically be the same for any procedure run by a given buyer. Consequently, they can be prefilled automatically for all buyers (in case of administrative review bodies) or depending on the buyer’s address (in case of regional courts). However, in the special case of joint procurement, for example, </w:t>
      </w:r>
      <w:r w:rsidR="00942EBF">
        <w:rPr>
          <w:rFonts w:eastAsia="Times New Roman" w:cstheme="minorHAnsi"/>
          <w:lang w:val="en-IE"/>
        </w:rPr>
        <w:t xml:space="preserve">for </w:t>
      </w:r>
      <w:r w:rsidRPr="0059550D">
        <w:rPr>
          <w:rFonts w:eastAsia="Times New Roman" w:cstheme="minorHAnsi"/>
          <w:lang w:val="en-IE"/>
        </w:rPr>
        <w:t>buyers from different regions or countries, there may be a need</w:t>
      </w:r>
      <w:r w:rsidR="00942EBF">
        <w:rPr>
          <w:rFonts w:eastAsia="Times New Roman" w:cstheme="minorHAnsi"/>
          <w:lang w:val="en-IE"/>
        </w:rPr>
        <w:t>,</w:t>
      </w:r>
      <w:r w:rsidRPr="0059550D">
        <w:rPr>
          <w:rFonts w:eastAsia="Times New Roman" w:cstheme="minorHAnsi"/>
          <w:lang w:val="en-IE"/>
        </w:rPr>
        <w:t xml:space="preserve"> </w:t>
      </w:r>
      <w:r w:rsidR="00942EBF" w:rsidRPr="0059550D">
        <w:rPr>
          <w:rFonts w:eastAsia="Times New Roman" w:cstheme="minorHAnsi"/>
          <w:lang w:val="en-IE"/>
        </w:rPr>
        <w:t xml:space="preserve">in certain jurisdictions, </w:t>
      </w:r>
      <w:r w:rsidRPr="0059550D">
        <w:rPr>
          <w:rFonts w:eastAsia="Times New Roman" w:cstheme="minorHAnsi"/>
          <w:lang w:val="en-IE"/>
        </w:rPr>
        <w:t xml:space="preserve">to specify that different review bodies apply to different lots.  </w:t>
      </w:r>
    </w:p>
    <w:p w14:paraId="579090D1" w14:textId="568FD31C" w:rsidR="00737630" w:rsidRPr="00737630" w:rsidRDefault="007975AB" w:rsidP="00BF42DB">
      <w:pPr>
        <w:numPr>
          <w:ilvl w:val="0"/>
          <w:numId w:val="37"/>
        </w:numPr>
        <w:shd w:val="clear" w:color="auto" w:fill="FFFFFF"/>
        <w:spacing w:before="60" w:after="100" w:afterAutospacing="1"/>
        <w:jc w:val="both"/>
        <w:rPr>
          <w:rFonts w:eastAsia="Times New Roman" w:cstheme="minorHAnsi"/>
          <w:lang w:val="en-IE"/>
        </w:rPr>
      </w:pPr>
      <w:r w:rsidRPr="0059550D">
        <w:rPr>
          <w:rFonts w:eastAsia="Times New Roman" w:cstheme="minorHAnsi"/>
          <w:lang w:val="en-IE"/>
        </w:rPr>
        <w:t xml:space="preserve">Beneficial owners must refer to </w:t>
      </w:r>
      <w:r w:rsidR="00A535D4" w:rsidRPr="0059550D">
        <w:rPr>
          <w:rFonts w:eastAsia="Times New Roman" w:cstheme="minorHAnsi"/>
          <w:lang w:val="en-IE"/>
        </w:rPr>
        <w:t>the</w:t>
      </w:r>
      <w:r w:rsidRPr="0059550D">
        <w:rPr>
          <w:rFonts w:eastAsia="Times New Roman" w:cstheme="minorHAnsi"/>
          <w:lang w:val="en-IE"/>
        </w:rPr>
        <w:t xml:space="preserve"> Winner </w:t>
      </w:r>
      <w:r w:rsidR="00A535D4" w:rsidRPr="0059550D">
        <w:rPr>
          <w:rFonts w:eastAsia="Times New Roman" w:cstheme="minorHAnsi"/>
          <w:lang w:val="en-IE"/>
        </w:rPr>
        <w:t>for whom they are a beneficial owner.</w:t>
      </w:r>
    </w:p>
    <w:p w14:paraId="36F348BC" w14:textId="587C63F3" w:rsidR="001772C2" w:rsidRPr="0059550D" w:rsidRDefault="002975B2" w:rsidP="00C90844">
      <w:pPr>
        <w:shd w:val="clear" w:color="auto" w:fill="FFFFFF"/>
        <w:spacing w:before="60" w:after="100" w:afterAutospacing="1"/>
        <w:rPr>
          <w:rFonts w:eastAsia="Times New Roman" w:cstheme="minorHAnsi"/>
          <w:lang w:val="en-IE"/>
        </w:rPr>
      </w:pPr>
      <w:r w:rsidRPr="0059550D">
        <w:rPr>
          <w:rFonts w:cstheme="minorHAnsi"/>
          <w:lang w:val="en-IE"/>
        </w:rPr>
        <w:t xml:space="preserve">In case of </w:t>
      </w:r>
      <w:r w:rsidR="001772C2" w:rsidRPr="0059550D">
        <w:rPr>
          <w:rFonts w:cstheme="minorHAnsi"/>
          <w:lang w:val="en-IE"/>
        </w:rPr>
        <w:t xml:space="preserve">Organisation </w:t>
      </w:r>
      <w:r w:rsidRPr="0059550D">
        <w:rPr>
          <w:rFonts w:cstheme="minorHAnsi"/>
          <w:lang w:val="en-IE"/>
        </w:rPr>
        <w:t>S</w:t>
      </w:r>
      <w:r w:rsidR="001772C2" w:rsidRPr="0059550D">
        <w:rPr>
          <w:rFonts w:cstheme="minorHAnsi"/>
          <w:lang w:val="en-IE"/>
        </w:rPr>
        <w:t>ub</w:t>
      </w:r>
      <w:r w:rsidRPr="0059550D">
        <w:rPr>
          <w:rFonts w:cstheme="minorHAnsi"/>
          <w:lang w:val="en-IE"/>
        </w:rPr>
        <w:t>role (BT-770)</w:t>
      </w:r>
      <w:r w:rsidR="00051406" w:rsidRPr="0059550D">
        <w:rPr>
          <w:rFonts w:cstheme="minorHAnsi"/>
          <w:lang w:val="en-IE"/>
        </w:rPr>
        <w:t>:</w:t>
      </w:r>
    </w:p>
    <w:p w14:paraId="54FA145C" w14:textId="06E47813" w:rsidR="002975B2" w:rsidRPr="0059550D" w:rsidRDefault="002975B2" w:rsidP="003E26FD">
      <w:pPr>
        <w:pStyle w:val="NormalWeb"/>
        <w:numPr>
          <w:ilvl w:val="0"/>
          <w:numId w:val="49"/>
        </w:numPr>
        <w:shd w:val="clear" w:color="auto" w:fill="FFFFFF"/>
        <w:spacing w:before="0" w:beforeAutospacing="0" w:after="0" w:afterAutospacing="0"/>
        <w:jc w:val="both"/>
        <w:rPr>
          <w:rFonts w:asciiTheme="minorHAnsi" w:hAnsiTheme="minorHAnsi" w:cstheme="minorHAnsi"/>
          <w:sz w:val="22"/>
          <w:szCs w:val="22"/>
          <w:lang w:val="en-IE"/>
        </w:rPr>
      </w:pPr>
      <w:r w:rsidRPr="0059550D">
        <w:rPr>
          <w:rFonts w:asciiTheme="minorHAnsi" w:hAnsiTheme="minorHAnsi" w:cstheme="minorHAnsi"/>
          <w:sz w:val="22"/>
          <w:szCs w:val="22"/>
          <w:lang w:val="en-IE"/>
        </w:rPr>
        <w:t xml:space="preserve">“Group leader” may be specified per winning tender in case of consortia of economic operators, per procedure (or even per lot) in case of joint procurement. </w:t>
      </w:r>
    </w:p>
    <w:p w14:paraId="34EA3264" w14:textId="4CA55B85" w:rsidR="002975B2" w:rsidRPr="0059550D" w:rsidRDefault="002975B2" w:rsidP="003E26FD">
      <w:pPr>
        <w:pStyle w:val="NormalWeb"/>
        <w:numPr>
          <w:ilvl w:val="0"/>
          <w:numId w:val="49"/>
        </w:numPr>
        <w:shd w:val="clear" w:color="auto" w:fill="FFFFFF"/>
        <w:spacing w:after="0" w:afterAutospacing="0"/>
        <w:jc w:val="both"/>
        <w:rPr>
          <w:rFonts w:asciiTheme="minorHAnsi" w:hAnsiTheme="minorHAnsi" w:cstheme="minorHAnsi"/>
          <w:sz w:val="22"/>
          <w:szCs w:val="22"/>
          <w:lang w:val="en-IE"/>
        </w:rPr>
      </w:pPr>
      <w:r w:rsidRPr="0059550D">
        <w:rPr>
          <w:rFonts w:asciiTheme="minorHAnsi" w:hAnsiTheme="minorHAnsi" w:cstheme="minorHAnsi"/>
          <w:sz w:val="22"/>
          <w:szCs w:val="22"/>
          <w:lang w:val="en-IE"/>
        </w:rPr>
        <w:t xml:space="preserve">Organisations providing additional information about the procurement procedure, providing offline access to the procurement documents, providing more information on the time limits for review procedures, receiving requests to participate or tenders, processing requests to participate or tenders can all refer to only particular lots. </w:t>
      </w:r>
    </w:p>
    <w:p w14:paraId="0454FF23" w14:textId="77777777" w:rsidR="002975B2" w:rsidRPr="0059550D" w:rsidRDefault="002975B2" w:rsidP="003E26FD">
      <w:pPr>
        <w:pStyle w:val="NormalWeb"/>
        <w:numPr>
          <w:ilvl w:val="0"/>
          <w:numId w:val="49"/>
        </w:numPr>
        <w:shd w:val="clear" w:color="auto" w:fill="FFFFFF"/>
        <w:spacing w:before="0" w:beforeAutospacing="0" w:after="0" w:afterAutospacing="0"/>
        <w:jc w:val="both"/>
        <w:rPr>
          <w:rFonts w:asciiTheme="minorHAnsi" w:hAnsiTheme="minorHAnsi" w:cstheme="minorHAnsi"/>
          <w:sz w:val="22"/>
          <w:szCs w:val="22"/>
          <w:lang w:val="en-IE"/>
        </w:rPr>
      </w:pPr>
      <w:r w:rsidRPr="0059550D">
        <w:rPr>
          <w:rFonts w:asciiTheme="minorHAnsi" w:hAnsiTheme="minorHAnsi" w:cstheme="minorHAnsi"/>
          <w:sz w:val="22"/>
          <w:szCs w:val="22"/>
          <w:lang w:val="en-IE"/>
        </w:rPr>
        <w:t>O</w:t>
      </w:r>
      <w:r w:rsidR="001772C2" w:rsidRPr="0059550D">
        <w:rPr>
          <w:rFonts w:asciiTheme="minorHAnsi" w:hAnsiTheme="minorHAnsi" w:cstheme="minorHAnsi"/>
          <w:sz w:val="22"/>
          <w:szCs w:val="22"/>
          <w:lang w:val="en-IE"/>
        </w:rPr>
        <w:t xml:space="preserve">rganisation signing the contract </w:t>
      </w:r>
      <w:r w:rsidRPr="0059550D">
        <w:rPr>
          <w:rFonts w:asciiTheme="minorHAnsi" w:hAnsiTheme="minorHAnsi" w:cstheme="minorHAnsi"/>
          <w:sz w:val="22"/>
          <w:szCs w:val="22"/>
          <w:lang w:val="en-IE"/>
        </w:rPr>
        <w:t xml:space="preserve">can refer to a </w:t>
      </w:r>
      <w:r w:rsidR="001772C2" w:rsidRPr="0059550D">
        <w:rPr>
          <w:rFonts w:asciiTheme="minorHAnsi" w:hAnsiTheme="minorHAnsi" w:cstheme="minorHAnsi"/>
          <w:sz w:val="22"/>
          <w:szCs w:val="22"/>
          <w:lang w:val="en-IE"/>
        </w:rPr>
        <w:t>contract</w:t>
      </w:r>
      <w:r w:rsidRPr="0059550D">
        <w:rPr>
          <w:rFonts w:asciiTheme="minorHAnsi" w:hAnsiTheme="minorHAnsi" w:cstheme="minorHAnsi"/>
          <w:sz w:val="22"/>
          <w:szCs w:val="22"/>
          <w:lang w:val="en-IE"/>
        </w:rPr>
        <w:t>. (This can be relevant, for example, in cases of more complicated arrangements between central purchasing bodies, buyer, and possibly even procurement service providers.)</w:t>
      </w:r>
    </w:p>
    <w:p w14:paraId="7230824D" w14:textId="0875863C" w:rsidR="001772C2" w:rsidRPr="0059550D" w:rsidRDefault="001772C2" w:rsidP="003E26FD">
      <w:pPr>
        <w:pStyle w:val="NormalWeb"/>
        <w:numPr>
          <w:ilvl w:val="0"/>
          <w:numId w:val="49"/>
        </w:numPr>
        <w:shd w:val="clear" w:color="auto" w:fill="FFFFFF"/>
        <w:spacing w:before="0" w:beforeAutospacing="0" w:after="0" w:afterAutospacing="0"/>
        <w:jc w:val="both"/>
        <w:rPr>
          <w:rFonts w:asciiTheme="minorHAnsi" w:hAnsiTheme="minorHAnsi" w:cstheme="minorHAnsi"/>
          <w:sz w:val="22"/>
          <w:szCs w:val="22"/>
          <w:lang w:val="en-IE"/>
        </w:rPr>
      </w:pPr>
      <w:r w:rsidRPr="0059550D">
        <w:rPr>
          <w:rFonts w:asciiTheme="minorHAnsi" w:hAnsiTheme="minorHAnsi" w:cstheme="minorHAnsi"/>
          <w:sz w:val="22"/>
          <w:szCs w:val="22"/>
          <w:lang w:val="en-IE"/>
        </w:rPr>
        <w:t xml:space="preserve">Organisation whose budget is used to pay for the contract </w:t>
      </w:r>
      <w:r w:rsidR="002975B2" w:rsidRPr="0059550D">
        <w:rPr>
          <w:rFonts w:asciiTheme="minorHAnsi" w:hAnsiTheme="minorHAnsi" w:cstheme="minorHAnsi"/>
          <w:sz w:val="22"/>
          <w:szCs w:val="22"/>
          <w:lang w:val="en-IE"/>
        </w:rPr>
        <w:t xml:space="preserve">and </w:t>
      </w:r>
      <w:r w:rsidRPr="0059550D">
        <w:rPr>
          <w:rFonts w:asciiTheme="minorHAnsi" w:hAnsiTheme="minorHAnsi" w:cstheme="minorHAnsi"/>
          <w:sz w:val="22"/>
          <w:szCs w:val="22"/>
          <w:lang w:val="en-IE"/>
        </w:rPr>
        <w:t xml:space="preserve">Organisation executing the payment </w:t>
      </w:r>
      <w:r w:rsidR="002975B2" w:rsidRPr="0059550D">
        <w:rPr>
          <w:rFonts w:asciiTheme="minorHAnsi" w:hAnsiTheme="minorHAnsi" w:cstheme="minorHAnsi"/>
          <w:sz w:val="22"/>
          <w:szCs w:val="22"/>
          <w:lang w:val="en-IE"/>
        </w:rPr>
        <w:t xml:space="preserve">may refer to </w:t>
      </w:r>
      <w:r w:rsidRPr="0059550D">
        <w:rPr>
          <w:rFonts w:asciiTheme="minorHAnsi" w:hAnsiTheme="minorHAnsi" w:cstheme="minorHAnsi"/>
          <w:sz w:val="22"/>
          <w:szCs w:val="22"/>
          <w:lang w:val="en-IE"/>
        </w:rPr>
        <w:t xml:space="preserve">lot and/or </w:t>
      </w:r>
      <w:r w:rsidR="002975B2" w:rsidRPr="0059550D">
        <w:rPr>
          <w:rFonts w:asciiTheme="minorHAnsi" w:hAnsiTheme="minorHAnsi" w:cstheme="minorHAnsi"/>
          <w:sz w:val="22"/>
          <w:szCs w:val="22"/>
          <w:lang w:val="en-IE"/>
        </w:rPr>
        <w:t>contract.</w:t>
      </w:r>
    </w:p>
    <w:p w14:paraId="1FAB5BAE" w14:textId="77777777" w:rsidR="0089117F" w:rsidRPr="0059550D" w:rsidRDefault="0089117F" w:rsidP="0089117F">
      <w:pPr>
        <w:pStyle w:val="NormalWeb"/>
        <w:shd w:val="clear" w:color="auto" w:fill="FFFFFF"/>
        <w:spacing w:before="0" w:beforeAutospacing="0" w:after="0" w:afterAutospacing="0"/>
        <w:rPr>
          <w:rFonts w:asciiTheme="minorHAnsi" w:hAnsiTheme="minorHAnsi" w:cstheme="minorHAnsi"/>
          <w:sz w:val="22"/>
          <w:szCs w:val="22"/>
          <w:lang w:val="en-IE"/>
        </w:rPr>
      </w:pPr>
    </w:p>
    <w:p w14:paraId="6C2330C6" w14:textId="141018D8" w:rsidR="00557BE3" w:rsidRPr="0059550D" w:rsidRDefault="00557BE3" w:rsidP="00557BE3">
      <w:pPr>
        <w:pStyle w:val="NoSpacing"/>
        <w:rPr>
          <w:rFonts w:cstheme="minorHAnsi"/>
          <w:lang w:val="en-IE"/>
        </w:rPr>
      </w:pPr>
      <w:r w:rsidRPr="0059550D">
        <w:rPr>
          <w:rFonts w:cstheme="minorHAnsi"/>
          <w:lang w:val="en-IE"/>
        </w:rPr>
        <w:t xml:space="preserve">For all situations above, </w:t>
      </w:r>
      <w:r w:rsidR="00DC6C47" w:rsidRPr="0059550D">
        <w:rPr>
          <w:rFonts w:cstheme="minorHAnsi"/>
          <w:lang w:val="en-IE"/>
        </w:rPr>
        <w:t>d</w:t>
      </w:r>
      <w:r w:rsidRPr="0059550D">
        <w:rPr>
          <w:rFonts w:cstheme="minorHAnsi"/>
          <w:lang w:val="en-IE"/>
        </w:rPr>
        <w:t>esigners should explore the following topics:</w:t>
      </w:r>
    </w:p>
    <w:p w14:paraId="181EE9ED" w14:textId="77777777" w:rsidR="00DC6C47" w:rsidRPr="0059550D" w:rsidRDefault="00DC6C47" w:rsidP="00730301">
      <w:pPr>
        <w:pStyle w:val="NoSpacing"/>
        <w:numPr>
          <w:ilvl w:val="0"/>
          <w:numId w:val="38"/>
        </w:numPr>
        <w:rPr>
          <w:rFonts w:cstheme="minorHAnsi"/>
          <w:lang w:val="en-IE"/>
        </w:rPr>
      </w:pPr>
      <w:r w:rsidRPr="0059550D">
        <w:rPr>
          <w:rFonts w:cstheme="minorHAnsi"/>
          <w:lang w:val="en-IE"/>
        </w:rPr>
        <w:t xml:space="preserve">How to associate roles with organisations? Drag and drop between roles and organisations, choosing from drop-down menus, etc. </w:t>
      </w:r>
    </w:p>
    <w:p w14:paraId="1362173E" w14:textId="36EAB3E2" w:rsidR="00557BE3" w:rsidRPr="0059550D" w:rsidRDefault="00DC6C47" w:rsidP="00730301">
      <w:pPr>
        <w:pStyle w:val="NoSpacing"/>
        <w:numPr>
          <w:ilvl w:val="0"/>
          <w:numId w:val="38"/>
        </w:numPr>
        <w:rPr>
          <w:rFonts w:cstheme="minorHAnsi"/>
          <w:lang w:val="en-IE"/>
        </w:rPr>
      </w:pPr>
      <w:r w:rsidRPr="0059550D">
        <w:rPr>
          <w:rFonts w:cstheme="minorHAnsi"/>
          <w:lang w:val="en-IE"/>
        </w:rPr>
        <w:t>Where necessary, how to associate organisations (that have certain roles) with other parts of the notices? Drag and drop between roles and organisations, choosing from drop-down menus,</w:t>
      </w:r>
      <w:r w:rsidR="00FA5B8A" w:rsidRPr="0059550D">
        <w:rPr>
          <w:rFonts w:cstheme="minorHAnsi"/>
          <w:lang w:val="en-IE"/>
        </w:rPr>
        <w:t xml:space="preserve"> starting to type the name of the organisation when filling information about a certain section,</w:t>
      </w:r>
      <w:r w:rsidRPr="0059550D">
        <w:rPr>
          <w:rFonts w:cstheme="minorHAnsi"/>
          <w:lang w:val="en-IE"/>
        </w:rPr>
        <w:t xml:space="preserve"> etc. </w:t>
      </w:r>
    </w:p>
    <w:p w14:paraId="0C54C693" w14:textId="53DBABF2" w:rsidR="00841A18" w:rsidRDefault="00724371" w:rsidP="00EB186D">
      <w:pPr>
        <w:pStyle w:val="Heading3"/>
        <w:numPr>
          <w:ilvl w:val="1"/>
          <w:numId w:val="79"/>
        </w:numPr>
        <w:rPr>
          <w:lang w:val="en-IE"/>
        </w:rPr>
      </w:pPr>
      <w:bookmarkStart w:id="91" w:name="_Ref20419405"/>
      <w:bookmarkStart w:id="92" w:name="_Toc25684114"/>
      <w:r>
        <w:rPr>
          <w:lang w:val="en-IE"/>
        </w:rPr>
        <w:t xml:space="preserve">Other information with </w:t>
      </w:r>
      <w:r w:rsidR="004C46A1">
        <w:rPr>
          <w:lang w:val="en-IE"/>
        </w:rPr>
        <w:t>flexible</w:t>
      </w:r>
      <w:r>
        <w:rPr>
          <w:lang w:val="en-IE"/>
        </w:rPr>
        <w:t xml:space="preserve"> linking</w:t>
      </w:r>
      <w:bookmarkEnd w:id="91"/>
      <w:bookmarkEnd w:id="92"/>
    </w:p>
    <w:p w14:paraId="72C7A447" w14:textId="19F42B1A" w:rsidR="00841A18" w:rsidRDefault="00841A18" w:rsidP="00841A18">
      <w:pPr>
        <w:pStyle w:val="NoSpacing"/>
        <w:rPr>
          <w:lang w:val="en-IE"/>
        </w:rPr>
      </w:pPr>
    </w:p>
    <w:p w14:paraId="4726475B" w14:textId="365EDFD9" w:rsidR="00142224" w:rsidRDefault="00142224" w:rsidP="00841A18">
      <w:pPr>
        <w:pStyle w:val="NoSpacing"/>
        <w:rPr>
          <w:lang w:val="en-IE"/>
        </w:rPr>
      </w:pPr>
      <w:r>
        <w:rPr>
          <w:lang w:val="en-IE"/>
        </w:rPr>
        <w:t xml:space="preserve">The </w:t>
      </w:r>
      <w:r w:rsidR="007D5818">
        <w:rPr>
          <w:lang w:val="en-IE"/>
        </w:rPr>
        <w:t>main</w:t>
      </w:r>
      <w:r>
        <w:rPr>
          <w:lang w:val="en-IE"/>
        </w:rPr>
        <w:t xml:space="preserve"> purpose of being able to link to any other part of the notice is to be able to specify, in case of repeatable groups, that some information pertains to one part of a notice and </w:t>
      </w:r>
      <w:r w:rsidR="00B5748C">
        <w:rPr>
          <w:lang w:val="en-IE"/>
        </w:rPr>
        <w:t xml:space="preserve">other </w:t>
      </w:r>
      <w:r>
        <w:rPr>
          <w:lang w:val="en-IE"/>
        </w:rPr>
        <w:t xml:space="preserve">information to another part of the notice. </w:t>
      </w:r>
      <w:r w:rsidR="00DB25CD">
        <w:rPr>
          <w:lang w:val="en-IE"/>
        </w:rPr>
        <w:t>For example</w:t>
      </w:r>
      <w:r>
        <w:rPr>
          <w:lang w:val="en-IE"/>
        </w:rPr>
        <w:t xml:space="preserve">: </w:t>
      </w:r>
    </w:p>
    <w:p w14:paraId="4C52C110" w14:textId="707CBAC8" w:rsidR="00841A18" w:rsidRDefault="00841A18" w:rsidP="00841A18">
      <w:pPr>
        <w:pStyle w:val="NoSpacing"/>
        <w:rPr>
          <w:lang w:val="en-IE"/>
        </w:rPr>
      </w:pPr>
    </w:p>
    <w:p w14:paraId="182AD043" w14:textId="1BD77FE6" w:rsidR="00841A18" w:rsidRPr="00841A18" w:rsidRDefault="00724371" w:rsidP="00730301">
      <w:pPr>
        <w:pStyle w:val="NoSpacing"/>
        <w:numPr>
          <w:ilvl w:val="0"/>
          <w:numId w:val="39"/>
        </w:numPr>
        <w:rPr>
          <w:lang w:val="en-US"/>
        </w:rPr>
      </w:pPr>
      <w:r>
        <w:rPr>
          <w:lang w:val="en-IE"/>
        </w:rPr>
        <w:t>Information about strategic procurement</w:t>
      </w:r>
      <w:r w:rsidR="00841A18" w:rsidRPr="0059550D">
        <w:rPr>
          <w:lang w:val="en-IE"/>
        </w:rPr>
        <w:t xml:space="preserve"> can be linked to</w:t>
      </w:r>
      <w:r w:rsidR="00B5748C">
        <w:rPr>
          <w:lang w:val="en-IE"/>
        </w:rPr>
        <w:t xml:space="preserve"> different parts of a notice </w:t>
      </w:r>
      <w:r w:rsidR="00841A18" w:rsidRPr="0059550D">
        <w:rPr>
          <w:lang w:val="en-IE"/>
        </w:rPr>
        <w:t>using</w:t>
      </w:r>
      <w:r>
        <w:rPr>
          <w:lang w:val="en-IE"/>
        </w:rPr>
        <w:t xml:space="preserve"> </w:t>
      </w:r>
      <w:r w:rsidR="00841A18" w:rsidRPr="00841A18">
        <w:rPr>
          <w:lang w:val="en-US"/>
        </w:rPr>
        <w:t>Strategic Procurement Notice Section Identifier (BT-13721)</w:t>
      </w:r>
      <w:r w:rsidR="00137AB7">
        <w:rPr>
          <w:lang w:val="en-US"/>
        </w:rPr>
        <w:t xml:space="preserve">. This </w:t>
      </w:r>
      <w:r w:rsidR="00AD0B0C">
        <w:rPr>
          <w:lang w:val="en-US"/>
        </w:rPr>
        <w:t>allows</w:t>
      </w:r>
      <w:r w:rsidR="00B5748C">
        <w:rPr>
          <w:lang w:val="en-US"/>
        </w:rPr>
        <w:t>, for example,</w:t>
      </w:r>
      <w:r w:rsidR="00AD0B0C">
        <w:rPr>
          <w:lang w:val="en-US"/>
        </w:rPr>
        <w:t xml:space="preserve"> providing </w:t>
      </w:r>
      <w:r w:rsidR="00132C78">
        <w:rPr>
          <w:lang w:val="en-US"/>
        </w:rPr>
        <w:t xml:space="preserve">information about strategic procurements separately per </w:t>
      </w:r>
      <w:r w:rsidR="00132C78" w:rsidRPr="00132C78">
        <w:rPr>
          <w:lang w:val="en-US"/>
        </w:rPr>
        <w:t>technical specification, selection criterion, award criterion, or contract performance condition</w:t>
      </w:r>
      <w:r w:rsidR="00132C78">
        <w:rPr>
          <w:lang w:val="en-US"/>
        </w:rPr>
        <w:t xml:space="preserve">s. </w:t>
      </w:r>
    </w:p>
    <w:p w14:paraId="45F61CB5" w14:textId="4742E754" w:rsidR="00FF480E" w:rsidRPr="00FF480E" w:rsidRDefault="00137AB7" w:rsidP="00730301">
      <w:pPr>
        <w:pStyle w:val="NoSpacing"/>
        <w:numPr>
          <w:ilvl w:val="0"/>
          <w:numId w:val="39"/>
        </w:numPr>
        <w:rPr>
          <w:lang w:val="en-US"/>
        </w:rPr>
      </w:pPr>
      <w:r w:rsidRPr="00FF480E">
        <w:rPr>
          <w:lang w:val="en-IE"/>
        </w:rPr>
        <w:t xml:space="preserve">Information about </w:t>
      </w:r>
      <w:r w:rsidR="00FF480E" w:rsidRPr="00FF480E">
        <w:rPr>
          <w:lang w:val="en-IE"/>
        </w:rPr>
        <w:t>wh</w:t>
      </w:r>
      <w:r w:rsidR="007D5818">
        <w:rPr>
          <w:lang w:val="en-IE"/>
        </w:rPr>
        <w:t>at</w:t>
      </w:r>
      <w:r w:rsidR="00FF480E" w:rsidRPr="00FF480E">
        <w:rPr>
          <w:lang w:val="en-IE"/>
        </w:rPr>
        <w:t xml:space="preserve"> was modified </w:t>
      </w:r>
      <w:r w:rsidR="007D5818" w:rsidRPr="00FF480E">
        <w:rPr>
          <w:lang w:val="en-IE"/>
        </w:rPr>
        <w:t xml:space="preserve">in </w:t>
      </w:r>
      <w:r w:rsidR="007D5818">
        <w:rPr>
          <w:lang w:val="en-IE"/>
        </w:rPr>
        <w:t xml:space="preserve">a previously published contract award notice </w:t>
      </w:r>
      <w:r w:rsidRPr="00FF480E">
        <w:rPr>
          <w:lang w:val="en-IE"/>
        </w:rPr>
        <w:t xml:space="preserve">can be </w:t>
      </w:r>
      <w:r w:rsidR="00FF480E" w:rsidRPr="00FF480E">
        <w:rPr>
          <w:lang w:val="en-IE"/>
        </w:rPr>
        <w:t xml:space="preserve">given via </w:t>
      </w:r>
      <w:r w:rsidR="00841A18" w:rsidRPr="00FF480E">
        <w:rPr>
          <w:lang w:val="en-US"/>
        </w:rPr>
        <w:t>Modification Previous Notice Section Identifier (BT-1501)</w:t>
      </w:r>
      <w:r w:rsidR="00FF480E" w:rsidRPr="00FF480E">
        <w:rPr>
          <w:lang w:val="en-US"/>
        </w:rPr>
        <w:t>. This is used</w:t>
      </w:r>
      <w:r w:rsidR="00B5748C">
        <w:rPr>
          <w:lang w:val="en-US"/>
        </w:rPr>
        <w:t xml:space="preserve">, for example, when different modifications of a contract have different reasons (given in </w:t>
      </w:r>
      <w:r w:rsidR="00FF480E" w:rsidRPr="00FF480E">
        <w:rPr>
          <w:lang w:val="en-US"/>
        </w:rPr>
        <w:t>Modification Reason Code (BT-200) or Modification Reason Description (BT-201)</w:t>
      </w:r>
      <w:r w:rsidR="00B5748C">
        <w:rPr>
          <w:lang w:val="en-US"/>
        </w:rPr>
        <w:t>).</w:t>
      </w:r>
      <w:r w:rsidR="00FF480E">
        <w:rPr>
          <w:lang w:val="en-US"/>
        </w:rPr>
        <w:t xml:space="preserve"> </w:t>
      </w:r>
    </w:p>
    <w:p w14:paraId="543531EB" w14:textId="3855A45A" w:rsidR="00B77170" w:rsidRDefault="00FF480E" w:rsidP="00730301">
      <w:pPr>
        <w:pStyle w:val="NoSpacing"/>
        <w:numPr>
          <w:ilvl w:val="0"/>
          <w:numId w:val="39"/>
        </w:numPr>
        <w:rPr>
          <w:lang w:val="en-US"/>
        </w:rPr>
      </w:pPr>
      <w:r w:rsidRPr="00B77170">
        <w:rPr>
          <w:lang w:val="en-IE"/>
        </w:rPr>
        <w:t xml:space="preserve">Information about </w:t>
      </w:r>
      <w:r w:rsidR="007D5818">
        <w:rPr>
          <w:lang w:val="en-IE"/>
        </w:rPr>
        <w:t>what</w:t>
      </w:r>
      <w:r w:rsidRPr="00B77170">
        <w:rPr>
          <w:lang w:val="en-IE"/>
        </w:rPr>
        <w:t xml:space="preserve"> </w:t>
      </w:r>
      <w:r w:rsidR="007D5818" w:rsidRPr="00B77170">
        <w:rPr>
          <w:lang w:val="en-IE"/>
        </w:rPr>
        <w:t xml:space="preserve">was </w:t>
      </w:r>
      <w:r w:rsidR="007D0CA1">
        <w:rPr>
          <w:lang w:val="en-IE"/>
        </w:rPr>
        <w:t>changed</w:t>
      </w:r>
      <w:r w:rsidR="007D0CA1" w:rsidRPr="00B77170">
        <w:rPr>
          <w:lang w:val="en-IE"/>
        </w:rPr>
        <w:t xml:space="preserve"> </w:t>
      </w:r>
      <w:r w:rsidRPr="00B77170">
        <w:rPr>
          <w:lang w:val="en-IE"/>
        </w:rPr>
        <w:t xml:space="preserve">in the previous notice can be given via </w:t>
      </w:r>
      <w:r w:rsidRPr="00B77170">
        <w:rPr>
          <w:lang w:val="en-US"/>
        </w:rPr>
        <w:t>Change Previous Notice Section Identifier (BT-13716). This is used</w:t>
      </w:r>
      <w:r w:rsidR="00B5748C">
        <w:rPr>
          <w:lang w:val="en-US"/>
        </w:rPr>
        <w:t>, for example, when different changes in a previous notice have different reasons (given in Change Reason Code BT-140).</w:t>
      </w:r>
    </w:p>
    <w:p w14:paraId="24FA78BF" w14:textId="48CA5958" w:rsidR="00841A18" w:rsidRPr="00B77170" w:rsidRDefault="00142224" w:rsidP="00730301">
      <w:pPr>
        <w:pStyle w:val="NoSpacing"/>
        <w:numPr>
          <w:ilvl w:val="0"/>
          <w:numId w:val="39"/>
        </w:numPr>
        <w:rPr>
          <w:lang w:val="en-US"/>
        </w:rPr>
      </w:pPr>
      <w:r>
        <w:rPr>
          <w:lang w:val="en-US"/>
        </w:rPr>
        <w:lastRenderedPageBreak/>
        <w:t xml:space="preserve">Information about </w:t>
      </w:r>
      <w:r w:rsidR="00556181">
        <w:rPr>
          <w:lang w:val="en-US"/>
        </w:rPr>
        <w:t xml:space="preserve">which part of a notice was subject to a review request can be given via </w:t>
      </w:r>
      <w:r w:rsidR="00841A18" w:rsidRPr="00B77170">
        <w:rPr>
          <w:lang w:val="en-US"/>
        </w:rPr>
        <w:t>Review Notice Section Identifier (BT-786)</w:t>
      </w:r>
      <w:r w:rsidR="00556181">
        <w:rPr>
          <w:lang w:val="en-US"/>
        </w:rPr>
        <w:t>. This allows identifying, for example, whether</w:t>
      </w:r>
      <w:r w:rsidR="00841A18" w:rsidRPr="00B77170">
        <w:rPr>
          <w:lang w:val="en-US"/>
        </w:rPr>
        <w:t xml:space="preserve"> </w:t>
      </w:r>
      <w:r w:rsidR="00556181" w:rsidRPr="00132C78">
        <w:rPr>
          <w:lang w:val="en-US"/>
        </w:rPr>
        <w:t>technical specification, selection criterion, award criterion, or contract performance condition</w:t>
      </w:r>
      <w:r w:rsidR="00556181">
        <w:rPr>
          <w:lang w:val="en-US"/>
        </w:rPr>
        <w:t xml:space="preserve">s are most often subject to review requests. </w:t>
      </w:r>
    </w:p>
    <w:p w14:paraId="7C167D25" w14:textId="58E7F7A1" w:rsidR="00841A18" w:rsidRDefault="00841A18" w:rsidP="00841A18">
      <w:pPr>
        <w:pStyle w:val="NoSpacing"/>
        <w:rPr>
          <w:lang w:val="en-US"/>
        </w:rPr>
      </w:pPr>
    </w:p>
    <w:p w14:paraId="7FDCFA6D" w14:textId="1F713347" w:rsidR="00142224" w:rsidRPr="0059550D" w:rsidRDefault="00142224" w:rsidP="00142224">
      <w:pPr>
        <w:pStyle w:val="NoSpacing"/>
        <w:rPr>
          <w:lang w:val="en-IE"/>
        </w:rPr>
      </w:pPr>
      <w:r w:rsidRPr="0059550D">
        <w:rPr>
          <w:lang w:val="en-IE"/>
        </w:rPr>
        <w:t xml:space="preserve">Designers should </w:t>
      </w:r>
      <w:r w:rsidR="009E44DC">
        <w:rPr>
          <w:lang w:val="en-IE"/>
        </w:rPr>
        <w:t xml:space="preserve">particularly </w:t>
      </w:r>
      <w:r w:rsidRPr="0059550D">
        <w:rPr>
          <w:lang w:val="en-IE"/>
        </w:rPr>
        <w:t xml:space="preserve">explore </w:t>
      </w:r>
      <w:r w:rsidR="004D2A80">
        <w:rPr>
          <w:lang w:val="en-IE"/>
        </w:rPr>
        <w:t xml:space="preserve">how to explain these fields and functionalities to users. For example, in a user interface, they can be reduced to something more reminiscent of a codelist, with only a few options (e.g. comparing to section names) to choose from. </w:t>
      </w:r>
    </w:p>
    <w:p w14:paraId="3AC9AFA6" w14:textId="247F9123" w:rsidR="00A777CC" w:rsidRDefault="00A777CC" w:rsidP="00EB186D">
      <w:pPr>
        <w:pStyle w:val="Heading2"/>
        <w:numPr>
          <w:ilvl w:val="1"/>
          <w:numId w:val="49"/>
        </w:numPr>
        <w:rPr>
          <w:lang w:val="en-IE"/>
        </w:rPr>
      </w:pPr>
      <w:bookmarkStart w:id="93" w:name="_Toc25684115"/>
      <w:r>
        <w:rPr>
          <w:lang w:val="en-IE"/>
        </w:rPr>
        <w:t>C</w:t>
      </w:r>
      <w:r w:rsidRPr="0059550D">
        <w:rPr>
          <w:lang w:val="en-IE"/>
        </w:rPr>
        <w:t>odelists</w:t>
      </w:r>
      <w:bookmarkEnd w:id="93"/>
    </w:p>
    <w:p w14:paraId="67DC90F2" w14:textId="3AD18EEE" w:rsidR="00AC3130" w:rsidRDefault="00AC3130" w:rsidP="00AC3130">
      <w:pPr>
        <w:pStyle w:val="NoSpacing"/>
        <w:rPr>
          <w:lang w:val="en-IE"/>
        </w:rPr>
      </w:pPr>
    </w:p>
    <w:p w14:paraId="5F51BC01" w14:textId="1399EC93" w:rsidR="00AC3130" w:rsidRDefault="00AC3130" w:rsidP="00AC3130">
      <w:pPr>
        <w:pStyle w:val="NoSpacing"/>
        <w:rPr>
          <w:lang w:val="en-IE"/>
        </w:rPr>
      </w:pPr>
      <w:r w:rsidRPr="0059550D">
        <w:rPr>
          <w:lang w:val="en-IE"/>
        </w:rPr>
        <w:t>Designers should explore the following topics:</w:t>
      </w:r>
    </w:p>
    <w:p w14:paraId="30F615DB" w14:textId="357E9867" w:rsidR="00A777CC" w:rsidRDefault="00A777CC" w:rsidP="00730301">
      <w:pPr>
        <w:pStyle w:val="NoSpacing"/>
        <w:numPr>
          <w:ilvl w:val="0"/>
          <w:numId w:val="40"/>
        </w:numPr>
        <w:textAlignment w:val="baseline"/>
        <w:rPr>
          <w:lang w:val="en-IE"/>
        </w:rPr>
      </w:pPr>
      <w:r w:rsidRPr="00104F25">
        <w:rPr>
          <w:lang w:val="en-IE"/>
        </w:rPr>
        <w:t xml:space="preserve">When implementing business rules </w:t>
      </w:r>
      <w:r w:rsidR="00104F25" w:rsidRPr="00104F25">
        <w:rPr>
          <w:lang w:val="en-IE"/>
        </w:rPr>
        <w:t xml:space="preserve">concerning </w:t>
      </w:r>
      <w:r w:rsidRPr="00104F25">
        <w:rPr>
          <w:lang w:val="en-IE"/>
        </w:rPr>
        <w:t>codelists (e.g. code X is not applicable under directive Y), there are two options</w:t>
      </w:r>
      <w:r w:rsidR="00104F25" w:rsidRPr="00104F25">
        <w:rPr>
          <w:lang w:val="en-IE"/>
        </w:rPr>
        <w:t xml:space="preserve"> to do </w:t>
      </w:r>
      <w:r w:rsidR="00F96CB5">
        <w:rPr>
          <w:lang w:val="en-IE"/>
        </w:rPr>
        <w:t>it</w:t>
      </w:r>
      <w:r w:rsidR="00104F25" w:rsidRPr="00104F25">
        <w:rPr>
          <w:lang w:val="en-IE"/>
        </w:rPr>
        <w:t xml:space="preserve">. Either, </w:t>
      </w:r>
      <w:r w:rsidR="001457A6">
        <w:rPr>
          <w:lang w:val="en-IE"/>
        </w:rPr>
        <w:t>t</w:t>
      </w:r>
      <w:r w:rsidRPr="00104F25">
        <w:rPr>
          <w:lang w:val="en-IE"/>
        </w:rPr>
        <w:t xml:space="preserve">he </w:t>
      </w:r>
      <w:r w:rsidR="00104F25" w:rsidRPr="00104F25">
        <w:rPr>
          <w:lang w:val="en-IE"/>
        </w:rPr>
        <w:t xml:space="preserve">not applicable </w:t>
      </w:r>
      <w:r w:rsidRPr="00104F25">
        <w:rPr>
          <w:lang w:val="en-IE"/>
        </w:rPr>
        <w:t xml:space="preserve">code will not be displayed, or a code will be displayed but if a user chooses it, he will get a warning. The latter option </w:t>
      </w:r>
      <w:r w:rsidR="003147E3">
        <w:rPr>
          <w:lang w:val="en-IE"/>
        </w:rPr>
        <w:t xml:space="preserve">may have </w:t>
      </w:r>
      <w:r w:rsidR="00F96CB5">
        <w:rPr>
          <w:lang w:val="en-IE"/>
        </w:rPr>
        <w:t xml:space="preserve">an </w:t>
      </w:r>
      <w:r w:rsidR="003147E3">
        <w:rPr>
          <w:lang w:val="en-IE"/>
        </w:rPr>
        <w:t xml:space="preserve">advantage because </w:t>
      </w:r>
      <w:r w:rsidRPr="00104F25">
        <w:rPr>
          <w:lang w:val="en-IE"/>
        </w:rPr>
        <w:t>a user who doesn’t know that he cannot select code X under directive Y wil</w:t>
      </w:r>
      <w:r w:rsidR="003147E3">
        <w:rPr>
          <w:lang w:val="en-IE"/>
        </w:rPr>
        <w:t>l not spend time looking for it,</w:t>
      </w:r>
      <w:r w:rsidRPr="00104F25">
        <w:rPr>
          <w:lang w:val="en-IE"/>
        </w:rPr>
        <w:t xml:space="preserve"> but instead will (incorrectly) choose it and immediately be informed that, in fact, he cannot use it because of </w:t>
      </w:r>
      <w:r w:rsidR="003147E3">
        <w:rPr>
          <w:lang w:val="en-IE"/>
        </w:rPr>
        <w:t xml:space="preserve">specific legal </w:t>
      </w:r>
      <w:r w:rsidRPr="00104F25">
        <w:rPr>
          <w:lang w:val="en-IE"/>
        </w:rPr>
        <w:t>reason</w:t>
      </w:r>
      <w:r w:rsidR="003147E3">
        <w:rPr>
          <w:lang w:val="en-IE"/>
        </w:rPr>
        <w:t>s</w:t>
      </w:r>
      <w:r w:rsidRPr="00104F25">
        <w:rPr>
          <w:lang w:val="en-IE"/>
        </w:rPr>
        <w:t>. He can then go back and fix any mistake he made (e.g.</w:t>
      </w:r>
      <w:r w:rsidR="003147E3">
        <w:rPr>
          <w:lang w:val="en-IE"/>
        </w:rPr>
        <w:t xml:space="preserve"> in the procurement documents)</w:t>
      </w:r>
      <w:r w:rsidRPr="00104F25">
        <w:rPr>
          <w:lang w:val="en-IE"/>
        </w:rPr>
        <w:t xml:space="preserve">. </w:t>
      </w:r>
    </w:p>
    <w:p w14:paraId="0B132D48" w14:textId="4531346C" w:rsidR="003E3751" w:rsidRPr="00134CA7" w:rsidRDefault="003147E3" w:rsidP="00730301">
      <w:pPr>
        <w:pStyle w:val="NoSpacing"/>
        <w:numPr>
          <w:ilvl w:val="0"/>
          <w:numId w:val="40"/>
        </w:numPr>
        <w:textAlignment w:val="baseline"/>
        <w:rPr>
          <w:rFonts w:ascii="docs-Calibri" w:hAnsi="docs-Calibri"/>
          <w:color w:val="000000"/>
          <w:sz w:val="17"/>
          <w:szCs w:val="17"/>
          <w:shd w:val="clear" w:color="auto" w:fill="FFFFFF"/>
          <w:lang w:val="en-IE"/>
        </w:rPr>
      </w:pPr>
      <w:r w:rsidRPr="003147E3">
        <w:rPr>
          <w:lang w:val="en-IE"/>
        </w:rPr>
        <w:t xml:space="preserve">Certain codelists </w:t>
      </w:r>
      <w:r w:rsidR="00A777CC" w:rsidRPr="003147E3">
        <w:rPr>
          <w:lang w:val="en-IE"/>
        </w:rPr>
        <w:t xml:space="preserve">can be </w:t>
      </w:r>
      <w:r>
        <w:rPr>
          <w:lang w:val="en-IE"/>
        </w:rPr>
        <w:t xml:space="preserve">implemented as fields, e.g. Received Submissions (BG-712) </w:t>
      </w:r>
      <w:r w:rsidR="00134CA7">
        <w:rPr>
          <w:lang w:val="en-IE"/>
        </w:rPr>
        <w:t xml:space="preserve">where each value to be filled in can be displayed separately. At the same time, the fields can also be prefilled with the most likely value (e.g. those related to foreign tenders can be zero, those related to electronic tenders should be equal to the maximum number of tenders). </w:t>
      </w:r>
      <w:r w:rsidR="006B3FDC">
        <w:rPr>
          <w:lang w:val="en-IE"/>
        </w:rPr>
        <w:t>However, a user could forget to change the prefilled value when necessary. A</w:t>
      </w:r>
      <w:r w:rsidR="006B3FDC" w:rsidRPr="006B3FDC">
        <w:rPr>
          <w:lang w:val="en-IE"/>
        </w:rPr>
        <w:t xml:space="preserve"> list of possible values should be offered depending of wha</w:t>
      </w:r>
      <w:r w:rsidR="006B3FDC">
        <w:rPr>
          <w:lang w:val="en-IE"/>
        </w:rPr>
        <w:t>t has been selected in other fi</w:t>
      </w:r>
      <w:r w:rsidR="006B3FDC" w:rsidRPr="006B3FDC">
        <w:rPr>
          <w:lang w:val="en-IE"/>
        </w:rPr>
        <w:t>e</w:t>
      </w:r>
      <w:r w:rsidR="006B3FDC">
        <w:rPr>
          <w:lang w:val="en-IE"/>
        </w:rPr>
        <w:t>l</w:t>
      </w:r>
      <w:r w:rsidR="006B3FDC" w:rsidRPr="006B3FDC">
        <w:rPr>
          <w:lang w:val="en-IE"/>
        </w:rPr>
        <w:t>ds</w:t>
      </w:r>
      <w:r w:rsidR="006B3FDC">
        <w:rPr>
          <w:lang w:val="en-IE"/>
        </w:rPr>
        <w:t>.</w:t>
      </w:r>
    </w:p>
    <w:p w14:paraId="0924A558" w14:textId="6409BB9D" w:rsidR="005A377C" w:rsidRDefault="001813BB" w:rsidP="00EB186D">
      <w:pPr>
        <w:pStyle w:val="Heading2"/>
        <w:numPr>
          <w:ilvl w:val="1"/>
          <w:numId w:val="49"/>
        </w:numPr>
        <w:rPr>
          <w:lang w:val="en-IE"/>
        </w:rPr>
      </w:pPr>
      <w:bookmarkStart w:id="94" w:name="_Toc25684116"/>
      <w:r>
        <w:rPr>
          <w:lang w:val="en-IE"/>
        </w:rPr>
        <w:t>“Warning” business rules in user interfaces</w:t>
      </w:r>
      <w:bookmarkEnd w:id="94"/>
    </w:p>
    <w:p w14:paraId="005F08BE" w14:textId="77777777" w:rsidR="00DC3B2F" w:rsidRPr="00DC3B2F" w:rsidRDefault="00DC3B2F" w:rsidP="00DC3B2F">
      <w:pPr>
        <w:pStyle w:val="NoSpacing"/>
        <w:rPr>
          <w:lang w:val="en-IE"/>
        </w:rPr>
      </w:pPr>
    </w:p>
    <w:p w14:paraId="19A38597" w14:textId="54A9762B" w:rsidR="00AE4B7D" w:rsidRPr="0059550D" w:rsidRDefault="007310CB" w:rsidP="006A44FD">
      <w:pPr>
        <w:pStyle w:val="NoSpacing"/>
        <w:rPr>
          <w:lang w:val="en-IE"/>
        </w:rPr>
      </w:pPr>
      <w:r>
        <w:rPr>
          <w:lang w:val="en-IE"/>
        </w:rPr>
        <w:t xml:space="preserve">eForms business rules can be split into two basic categories: failing certain ones means that a notice will </w:t>
      </w:r>
      <w:r w:rsidR="00FE5BAA">
        <w:rPr>
          <w:lang w:val="en-IE"/>
        </w:rPr>
        <w:t xml:space="preserve">be rejected </w:t>
      </w:r>
      <w:r w:rsidR="00CE55FF">
        <w:rPr>
          <w:lang w:val="en-IE"/>
        </w:rPr>
        <w:t>by TED</w:t>
      </w:r>
      <w:r w:rsidR="00FE5BAA">
        <w:rPr>
          <w:lang w:val="en-IE"/>
        </w:rPr>
        <w:t xml:space="preserve"> and </w:t>
      </w:r>
      <w:r>
        <w:rPr>
          <w:lang w:val="en-IE"/>
        </w:rPr>
        <w:t xml:space="preserve">not published (“error” rules); failing others </w:t>
      </w:r>
      <w:r w:rsidR="00F96CB5">
        <w:rPr>
          <w:lang w:val="en-IE"/>
        </w:rPr>
        <w:t xml:space="preserve">may </w:t>
      </w:r>
      <w:r>
        <w:rPr>
          <w:lang w:val="en-IE"/>
        </w:rPr>
        <w:t>result only in a warning (“warning” rules)</w:t>
      </w:r>
      <w:r w:rsidR="00FE5BAA">
        <w:rPr>
          <w:lang w:val="en-IE"/>
        </w:rPr>
        <w:t xml:space="preserve"> – the notice will not be rejected </w:t>
      </w:r>
      <w:r w:rsidR="00CE55FF">
        <w:rPr>
          <w:lang w:val="en-IE"/>
        </w:rPr>
        <w:t xml:space="preserve">by TED </w:t>
      </w:r>
      <w:r w:rsidR="00FE5BAA">
        <w:rPr>
          <w:lang w:val="en-IE"/>
        </w:rPr>
        <w:t>and will be published</w:t>
      </w:r>
      <w:r>
        <w:rPr>
          <w:lang w:val="en-IE"/>
        </w:rPr>
        <w:t xml:space="preserve">. “Warning” rules are often rules that </w:t>
      </w:r>
      <w:r w:rsidR="00F96CB5">
        <w:rPr>
          <w:lang w:val="en-IE"/>
        </w:rPr>
        <w:t xml:space="preserve">inform </w:t>
      </w:r>
      <w:r>
        <w:rPr>
          <w:lang w:val="en-IE"/>
        </w:rPr>
        <w:t>that “an error is likely, but not certain”. Implementing such rules in a user interface leads to better data, as the end user can immediately react to the relevant message. For example, if an estimated value is a €100,000 and an awarded contract value is €1,000,000, then it is much more likely to be a typo than an actual market development. However, this is not 100% certain. Consequently, the best approach is to include in user interfaces a pop-up message asking the user “Are you sure this value is correct? It is very large compared to the estimated value.”</w:t>
      </w:r>
    </w:p>
    <w:p w14:paraId="0E20AD4D" w14:textId="575CA19E" w:rsidR="00AE4B7D" w:rsidRPr="0059550D" w:rsidRDefault="00AE4B7D" w:rsidP="00EB186D">
      <w:pPr>
        <w:pStyle w:val="Heading2"/>
        <w:numPr>
          <w:ilvl w:val="1"/>
          <w:numId w:val="49"/>
        </w:numPr>
        <w:rPr>
          <w:lang w:val="en-IE"/>
        </w:rPr>
      </w:pPr>
      <w:bookmarkStart w:id="95" w:name="_Toc25684117"/>
      <w:r w:rsidRPr="0059550D">
        <w:rPr>
          <w:lang w:val="en-IE"/>
        </w:rPr>
        <w:t>Timing of notices</w:t>
      </w:r>
      <w:bookmarkEnd w:id="95"/>
    </w:p>
    <w:p w14:paraId="59DAC51E" w14:textId="6CB08D70" w:rsidR="0018246D" w:rsidRDefault="0018246D" w:rsidP="0018246D">
      <w:pPr>
        <w:pStyle w:val="NoSpacing"/>
        <w:rPr>
          <w:lang w:val="en-IE"/>
        </w:rPr>
      </w:pPr>
      <w:r>
        <w:rPr>
          <w:lang w:val="en-IE"/>
        </w:rPr>
        <w:t>There is a large number of interrelated dates. These include the date of the publication of the notice, d</w:t>
      </w:r>
      <w:r w:rsidRPr="0059550D">
        <w:rPr>
          <w:lang w:val="en-IE"/>
        </w:rPr>
        <w:t xml:space="preserve">eadline </w:t>
      </w:r>
      <w:r>
        <w:rPr>
          <w:lang w:val="en-IE"/>
        </w:rPr>
        <w:t>for the r</w:t>
      </w:r>
      <w:r w:rsidRPr="0059550D">
        <w:rPr>
          <w:lang w:val="en-IE"/>
        </w:rPr>
        <w:t xml:space="preserve">eceipt </w:t>
      </w:r>
      <w:r>
        <w:rPr>
          <w:lang w:val="en-IE"/>
        </w:rPr>
        <w:t>of r</w:t>
      </w:r>
      <w:r w:rsidRPr="0059550D">
        <w:rPr>
          <w:lang w:val="en-IE"/>
        </w:rPr>
        <w:t>equests</w:t>
      </w:r>
      <w:r>
        <w:rPr>
          <w:lang w:val="en-IE"/>
        </w:rPr>
        <w:t xml:space="preserve"> to participate (</w:t>
      </w:r>
      <w:r w:rsidRPr="0059550D">
        <w:rPr>
          <w:lang w:val="en-IE"/>
        </w:rPr>
        <w:t>BT-1311</w:t>
      </w:r>
      <w:r>
        <w:rPr>
          <w:lang w:val="en-IE"/>
        </w:rPr>
        <w:t>), d</w:t>
      </w:r>
      <w:r w:rsidRPr="0059550D">
        <w:rPr>
          <w:lang w:val="en-IE"/>
        </w:rPr>
        <w:t xml:space="preserve">eadline </w:t>
      </w:r>
      <w:r>
        <w:rPr>
          <w:lang w:val="en-IE"/>
        </w:rPr>
        <w:t>for the r</w:t>
      </w:r>
      <w:r w:rsidRPr="0059550D">
        <w:rPr>
          <w:lang w:val="en-IE"/>
        </w:rPr>
        <w:t xml:space="preserve">eceipt </w:t>
      </w:r>
      <w:r>
        <w:rPr>
          <w:lang w:val="en-IE"/>
        </w:rPr>
        <w:t>of t</w:t>
      </w:r>
      <w:r w:rsidRPr="0059550D">
        <w:rPr>
          <w:lang w:val="en-IE"/>
        </w:rPr>
        <w:t>enders</w:t>
      </w:r>
      <w:r>
        <w:rPr>
          <w:lang w:val="en-IE"/>
        </w:rPr>
        <w:t xml:space="preserve"> (</w:t>
      </w:r>
      <w:r w:rsidRPr="0059550D">
        <w:rPr>
          <w:lang w:val="en-IE"/>
        </w:rPr>
        <w:t>BT-131</w:t>
      </w:r>
      <w:r>
        <w:rPr>
          <w:lang w:val="en-IE"/>
        </w:rPr>
        <w:t>), the t</w:t>
      </w:r>
      <w:r w:rsidRPr="0018246D">
        <w:rPr>
          <w:lang w:val="en-IE"/>
        </w:rPr>
        <w:t xml:space="preserve">ender </w:t>
      </w:r>
      <w:r>
        <w:rPr>
          <w:lang w:val="en-IE"/>
        </w:rPr>
        <w:t>v</w:t>
      </w:r>
      <w:r w:rsidRPr="0018246D">
        <w:rPr>
          <w:lang w:val="en-IE"/>
        </w:rPr>
        <w:t xml:space="preserve">alidity </w:t>
      </w:r>
      <w:r>
        <w:rPr>
          <w:lang w:val="en-IE"/>
        </w:rPr>
        <w:t>d</w:t>
      </w:r>
      <w:r w:rsidRPr="0018246D">
        <w:rPr>
          <w:lang w:val="en-IE"/>
        </w:rPr>
        <w:t>eadline</w:t>
      </w:r>
      <w:r>
        <w:rPr>
          <w:lang w:val="en-IE"/>
        </w:rPr>
        <w:t xml:space="preserve"> (</w:t>
      </w:r>
      <w:r w:rsidRPr="0018246D">
        <w:rPr>
          <w:lang w:val="en-IE"/>
        </w:rPr>
        <w:t>BT-98</w:t>
      </w:r>
      <w:r>
        <w:rPr>
          <w:lang w:val="en-IE"/>
        </w:rPr>
        <w:t>), the c</w:t>
      </w:r>
      <w:r w:rsidRPr="0018246D">
        <w:rPr>
          <w:lang w:val="en-IE"/>
        </w:rPr>
        <w:t xml:space="preserve">ontract </w:t>
      </w:r>
      <w:r>
        <w:rPr>
          <w:lang w:val="en-IE"/>
        </w:rPr>
        <w:t>c</w:t>
      </w:r>
      <w:r w:rsidRPr="0018246D">
        <w:rPr>
          <w:lang w:val="en-IE"/>
        </w:rPr>
        <w:t xml:space="preserve">onclusion </w:t>
      </w:r>
      <w:r>
        <w:rPr>
          <w:lang w:val="en-IE"/>
        </w:rPr>
        <w:t>d</w:t>
      </w:r>
      <w:r w:rsidRPr="0018246D">
        <w:rPr>
          <w:lang w:val="en-IE"/>
        </w:rPr>
        <w:t>ate</w:t>
      </w:r>
      <w:r>
        <w:rPr>
          <w:lang w:val="en-IE"/>
        </w:rPr>
        <w:t xml:space="preserve"> (</w:t>
      </w:r>
      <w:r w:rsidRPr="0018246D">
        <w:rPr>
          <w:lang w:val="en-IE"/>
        </w:rPr>
        <w:t>BT-145</w:t>
      </w:r>
      <w:r>
        <w:rPr>
          <w:lang w:val="en-IE"/>
        </w:rPr>
        <w:t xml:space="preserve">), etc.  </w:t>
      </w:r>
    </w:p>
    <w:p w14:paraId="17A58787" w14:textId="77777777" w:rsidR="0018246D" w:rsidRPr="0059550D" w:rsidRDefault="0018246D" w:rsidP="00AE4B7D">
      <w:pPr>
        <w:pStyle w:val="NoSpacing"/>
        <w:rPr>
          <w:lang w:val="en-IE"/>
        </w:rPr>
      </w:pPr>
    </w:p>
    <w:p w14:paraId="7DE58458" w14:textId="77777777" w:rsidR="0018246D" w:rsidRDefault="0018246D" w:rsidP="0018246D">
      <w:pPr>
        <w:pStyle w:val="NoSpacing"/>
        <w:rPr>
          <w:lang w:val="en-IE"/>
        </w:rPr>
      </w:pPr>
      <w:r w:rsidRPr="0059550D">
        <w:rPr>
          <w:lang w:val="en-IE"/>
        </w:rPr>
        <w:t>Designers should explore the following topics:</w:t>
      </w:r>
    </w:p>
    <w:p w14:paraId="0F3FD969" w14:textId="541D1C11" w:rsidR="0018246D" w:rsidRPr="0059550D" w:rsidRDefault="0018246D" w:rsidP="00730301">
      <w:pPr>
        <w:pStyle w:val="NoSpacing"/>
        <w:numPr>
          <w:ilvl w:val="0"/>
          <w:numId w:val="42"/>
        </w:numPr>
        <w:rPr>
          <w:lang w:val="en-IE"/>
        </w:rPr>
      </w:pPr>
      <w:r>
        <w:rPr>
          <w:lang w:val="en-IE"/>
        </w:rPr>
        <w:t xml:space="preserve">How to prefill these fields? For example, they can be prefilled on the basis of the </w:t>
      </w:r>
      <w:r w:rsidRPr="0059550D">
        <w:rPr>
          <w:lang w:val="en-IE"/>
        </w:rPr>
        <w:t>m</w:t>
      </w:r>
      <w:r>
        <w:rPr>
          <w:lang w:val="en-IE"/>
        </w:rPr>
        <w:t>inimal legally allowed timeline,</w:t>
      </w:r>
      <w:r w:rsidRPr="0059550D">
        <w:rPr>
          <w:lang w:val="en-IE"/>
        </w:rPr>
        <w:t xml:space="preserve"> or good practice (e.g. minimal deadline </w:t>
      </w:r>
      <w:r>
        <w:rPr>
          <w:lang w:val="en-IE"/>
        </w:rPr>
        <w:t>extended by additional days to give more time to the market to respond).</w:t>
      </w:r>
    </w:p>
    <w:p w14:paraId="2D8CEBA7" w14:textId="7D330407" w:rsidR="0018246D" w:rsidRDefault="002227E7" w:rsidP="00730301">
      <w:pPr>
        <w:pStyle w:val="NoSpacing"/>
        <w:numPr>
          <w:ilvl w:val="0"/>
          <w:numId w:val="41"/>
        </w:numPr>
        <w:rPr>
          <w:lang w:val="en-IE"/>
        </w:rPr>
      </w:pPr>
      <w:r>
        <w:rPr>
          <w:lang w:val="en-IE"/>
        </w:rPr>
        <w:t>How to avoid mistake</w:t>
      </w:r>
      <w:r w:rsidR="00F96CB5">
        <w:rPr>
          <w:lang w:val="en-IE"/>
        </w:rPr>
        <w:t>s</w:t>
      </w:r>
      <w:r>
        <w:rPr>
          <w:lang w:val="en-IE"/>
        </w:rPr>
        <w:t xml:space="preserve"> when publishing corrigenda. </w:t>
      </w:r>
    </w:p>
    <w:p w14:paraId="230127C4" w14:textId="4EEA3AB7" w:rsidR="0036544D" w:rsidRPr="0036544D" w:rsidRDefault="002227E7" w:rsidP="00730301">
      <w:pPr>
        <w:pStyle w:val="NoSpacing"/>
        <w:numPr>
          <w:ilvl w:val="0"/>
          <w:numId w:val="41"/>
        </w:numPr>
        <w:rPr>
          <w:lang w:val="en-IE"/>
        </w:rPr>
      </w:pPr>
      <w:r>
        <w:rPr>
          <w:lang w:val="en-IE"/>
        </w:rPr>
        <w:t>How do we help users avoid frequent errors</w:t>
      </w:r>
      <w:r w:rsidR="0036544D">
        <w:rPr>
          <w:lang w:val="en-IE"/>
        </w:rPr>
        <w:t xml:space="preserve">. For example, </w:t>
      </w:r>
      <w:r w:rsidR="00AE4B7D" w:rsidRPr="0059550D">
        <w:rPr>
          <w:lang w:val="en-IE"/>
        </w:rPr>
        <w:t xml:space="preserve">CANs must be published 60 days after </w:t>
      </w:r>
      <w:r w:rsidR="0036544D">
        <w:rPr>
          <w:lang w:val="en-IE"/>
        </w:rPr>
        <w:t xml:space="preserve">contract </w:t>
      </w:r>
      <w:r w:rsidR="00AE4B7D" w:rsidRPr="0059550D">
        <w:rPr>
          <w:lang w:val="en-IE"/>
        </w:rPr>
        <w:t>signature</w:t>
      </w:r>
      <w:r w:rsidR="0036544D">
        <w:rPr>
          <w:lang w:val="en-IE"/>
        </w:rPr>
        <w:t xml:space="preserve"> (</w:t>
      </w:r>
      <w:r>
        <w:rPr>
          <w:lang w:val="en-IE"/>
        </w:rPr>
        <w:t xml:space="preserve">i.e. after </w:t>
      </w:r>
      <w:r w:rsidR="00AE4B7D" w:rsidRPr="0059550D">
        <w:rPr>
          <w:lang w:val="en-IE"/>
        </w:rPr>
        <w:t>the standstill period</w:t>
      </w:r>
      <w:r w:rsidR="0036544D">
        <w:rPr>
          <w:lang w:val="en-IE"/>
        </w:rPr>
        <w:t xml:space="preserve">). If certain lots have already been awarded 60 days ago, but others are still being evaluated, than the CAN should still be </w:t>
      </w:r>
      <w:r w:rsidR="0036544D">
        <w:rPr>
          <w:lang w:val="en-IE"/>
        </w:rPr>
        <w:lastRenderedPageBreak/>
        <w:t>published and the lots that are still under evaluation should be marked with Winner Chosen (BT-142) equal to “</w:t>
      </w:r>
      <w:r w:rsidR="0036544D" w:rsidRPr="0036544D">
        <w:rPr>
          <w:lang w:val="en-IE"/>
        </w:rPr>
        <w:t>The winner was not yet chosen, but the competition is still ongoing.</w:t>
      </w:r>
      <w:r w:rsidR="0036544D">
        <w:rPr>
          <w:lang w:val="en-IE"/>
        </w:rPr>
        <w:t xml:space="preserve">” </w:t>
      </w:r>
    </w:p>
    <w:p w14:paraId="0A2FCFFF" w14:textId="0521A072" w:rsidR="005E189E" w:rsidRPr="005E189E" w:rsidRDefault="00594415" w:rsidP="00EB186D">
      <w:pPr>
        <w:pStyle w:val="Heading2"/>
        <w:numPr>
          <w:ilvl w:val="1"/>
          <w:numId w:val="49"/>
        </w:numPr>
        <w:rPr>
          <w:lang w:val="en-IE"/>
        </w:rPr>
      </w:pPr>
      <w:bookmarkStart w:id="96" w:name="_Toc25684118"/>
      <w:r>
        <w:rPr>
          <w:lang w:val="en-IE"/>
        </w:rPr>
        <w:t>Summaries (Purpose, Notice result)</w:t>
      </w:r>
      <w:bookmarkEnd w:id="96"/>
      <w:r>
        <w:rPr>
          <w:lang w:val="en-IE"/>
        </w:rPr>
        <w:t xml:space="preserve"> </w:t>
      </w:r>
    </w:p>
    <w:p w14:paraId="1966EFA0" w14:textId="0707004A" w:rsidR="005E189E" w:rsidRDefault="00594415" w:rsidP="000F34ED">
      <w:pPr>
        <w:textAlignment w:val="baseline"/>
        <w:rPr>
          <w:rFonts w:cstheme="minorHAnsi"/>
          <w:color w:val="000000"/>
          <w:shd w:val="clear" w:color="auto" w:fill="FFFFFF"/>
          <w:lang w:val="en-IE"/>
        </w:rPr>
      </w:pPr>
      <w:r w:rsidRPr="00594415">
        <w:rPr>
          <w:rFonts w:cstheme="minorHAnsi"/>
          <w:color w:val="000000"/>
          <w:shd w:val="clear" w:color="auto" w:fill="FFFFFF"/>
          <w:lang w:val="en-IE"/>
        </w:rPr>
        <w:t>There are two summaries in eForms. Purpose (</w:t>
      </w:r>
      <w:r>
        <w:rPr>
          <w:rFonts w:cstheme="minorHAnsi"/>
          <w:color w:val="000000"/>
          <w:shd w:val="clear" w:color="auto" w:fill="FFFFFF"/>
          <w:lang w:val="en-IE"/>
        </w:rPr>
        <w:t xml:space="preserve">BG-2) is used per individual lot, but must also be used to summarize the purpose of the whole procedure. </w:t>
      </w:r>
      <w:r w:rsidR="000F34ED">
        <w:rPr>
          <w:rFonts w:cstheme="minorHAnsi"/>
          <w:color w:val="000000"/>
          <w:shd w:val="clear" w:color="auto" w:fill="FFFFFF"/>
          <w:lang w:val="en-IE"/>
        </w:rPr>
        <w:t xml:space="preserve">Similarly, the first two fields of </w:t>
      </w:r>
      <w:r>
        <w:rPr>
          <w:rFonts w:cstheme="minorHAnsi"/>
          <w:color w:val="000000"/>
          <w:shd w:val="clear" w:color="auto" w:fill="FFFFFF"/>
          <w:lang w:val="en-IE"/>
        </w:rPr>
        <w:t>Notice Result (BG-7)</w:t>
      </w:r>
      <w:r w:rsidR="000F34ED">
        <w:rPr>
          <w:rFonts w:cstheme="minorHAnsi"/>
          <w:color w:val="000000"/>
          <w:shd w:val="clear" w:color="auto" w:fill="FFFFFF"/>
          <w:lang w:val="en-IE"/>
        </w:rPr>
        <w:t>, i.e.</w:t>
      </w:r>
      <w:r w:rsidR="000F34ED" w:rsidRPr="000F34ED">
        <w:rPr>
          <w:rFonts w:cstheme="minorHAnsi"/>
          <w:color w:val="000000"/>
          <w:shd w:val="clear" w:color="auto" w:fill="FFFFFF"/>
          <w:lang w:val="en-IE"/>
        </w:rPr>
        <w:t xml:space="preserve"> Notice Value</w:t>
      </w:r>
      <w:r w:rsidR="000F34ED">
        <w:rPr>
          <w:rFonts w:cstheme="minorHAnsi"/>
          <w:color w:val="000000"/>
          <w:shd w:val="clear" w:color="auto" w:fill="FFFFFF"/>
          <w:lang w:val="en-IE"/>
        </w:rPr>
        <w:t xml:space="preserve"> (</w:t>
      </w:r>
      <w:r w:rsidR="000F34ED" w:rsidRPr="000F34ED">
        <w:rPr>
          <w:rFonts w:cstheme="minorHAnsi"/>
          <w:color w:val="000000"/>
          <w:shd w:val="clear" w:color="auto" w:fill="FFFFFF"/>
          <w:lang w:val="en-IE"/>
        </w:rPr>
        <w:t>BT-161</w:t>
      </w:r>
      <w:r w:rsidR="000F34ED">
        <w:rPr>
          <w:rFonts w:cstheme="minorHAnsi"/>
          <w:color w:val="000000"/>
          <w:shd w:val="clear" w:color="auto" w:fill="FFFFFF"/>
          <w:lang w:val="en-IE"/>
        </w:rPr>
        <w:t xml:space="preserve">) and </w:t>
      </w:r>
      <w:r w:rsidR="000F34ED" w:rsidRPr="000F34ED">
        <w:rPr>
          <w:rFonts w:cstheme="minorHAnsi"/>
          <w:color w:val="000000"/>
          <w:shd w:val="clear" w:color="auto" w:fill="FFFFFF"/>
          <w:lang w:val="en-IE"/>
        </w:rPr>
        <w:t>Notice Framework Value</w:t>
      </w:r>
      <w:r w:rsidR="000F34ED">
        <w:rPr>
          <w:rFonts w:cstheme="minorHAnsi"/>
          <w:color w:val="000000"/>
          <w:shd w:val="clear" w:color="auto" w:fill="FFFFFF"/>
          <w:lang w:val="en-IE"/>
        </w:rPr>
        <w:t xml:space="preserve"> (</w:t>
      </w:r>
      <w:r w:rsidR="000F34ED" w:rsidRPr="000F34ED">
        <w:rPr>
          <w:rFonts w:cstheme="minorHAnsi"/>
          <w:color w:val="000000"/>
          <w:shd w:val="clear" w:color="auto" w:fill="FFFFFF"/>
          <w:lang w:val="en-IE"/>
        </w:rPr>
        <w:t>BT-118</w:t>
      </w:r>
      <w:r w:rsidR="000F34ED">
        <w:rPr>
          <w:rFonts w:cstheme="minorHAnsi"/>
          <w:color w:val="000000"/>
          <w:shd w:val="clear" w:color="auto" w:fill="FFFFFF"/>
          <w:lang w:val="en-IE"/>
        </w:rPr>
        <w:t xml:space="preserve">), summarize the value the whole procedure across all winning tenders, or the maximum value of the procedures across all lots (in case of framework agreements). </w:t>
      </w:r>
    </w:p>
    <w:p w14:paraId="32A2D992" w14:textId="30779A8C" w:rsidR="000F34ED" w:rsidRDefault="000F34ED" w:rsidP="000F34ED">
      <w:pPr>
        <w:textAlignment w:val="baseline"/>
        <w:rPr>
          <w:rFonts w:cstheme="minorHAnsi"/>
          <w:color w:val="000000"/>
          <w:shd w:val="clear" w:color="auto" w:fill="FFFFFF"/>
          <w:lang w:val="en-IE"/>
        </w:rPr>
      </w:pPr>
    </w:p>
    <w:p w14:paraId="62ED25A4" w14:textId="77777777" w:rsidR="000F34ED" w:rsidRDefault="000F34ED" w:rsidP="000F34ED">
      <w:pPr>
        <w:pStyle w:val="NoSpacing"/>
        <w:rPr>
          <w:lang w:val="en-IE"/>
        </w:rPr>
      </w:pPr>
      <w:r w:rsidRPr="0059550D">
        <w:rPr>
          <w:lang w:val="en-IE"/>
        </w:rPr>
        <w:t>Designers should explore the following topics:</w:t>
      </w:r>
    </w:p>
    <w:p w14:paraId="7770B89C" w14:textId="54D70049" w:rsidR="000F34ED" w:rsidRDefault="000F34ED" w:rsidP="00730301">
      <w:pPr>
        <w:pStyle w:val="ListParagraph"/>
        <w:numPr>
          <w:ilvl w:val="0"/>
          <w:numId w:val="43"/>
        </w:numPr>
        <w:textAlignment w:val="baseline"/>
        <w:rPr>
          <w:rFonts w:cstheme="minorHAnsi"/>
          <w:color w:val="000000"/>
          <w:shd w:val="clear" w:color="auto" w:fill="FFFFFF"/>
          <w:lang w:val="en-IE"/>
        </w:rPr>
      </w:pPr>
      <w:r>
        <w:rPr>
          <w:rFonts w:cstheme="minorHAnsi"/>
          <w:color w:val="000000"/>
          <w:shd w:val="clear" w:color="auto" w:fill="FFFFFF"/>
          <w:lang w:val="en-IE"/>
        </w:rPr>
        <w:t xml:space="preserve">Which fields can be prefilled automatically? This is the case for most fields, but not, for example, for the Title (BT-21) and Description (BT-24). </w:t>
      </w:r>
    </w:p>
    <w:p w14:paraId="4E271237" w14:textId="6B40D336" w:rsidR="000F34ED" w:rsidRDefault="000F34ED" w:rsidP="00730301">
      <w:pPr>
        <w:pStyle w:val="ListParagraph"/>
        <w:numPr>
          <w:ilvl w:val="0"/>
          <w:numId w:val="43"/>
        </w:numPr>
        <w:textAlignment w:val="baseline"/>
        <w:rPr>
          <w:rFonts w:cstheme="minorHAnsi"/>
          <w:color w:val="000000"/>
          <w:shd w:val="clear" w:color="auto" w:fill="FFFFFF"/>
          <w:lang w:val="en-IE"/>
        </w:rPr>
      </w:pPr>
      <w:r>
        <w:rPr>
          <w:rFonts w:cstheme="minorHAnsi"/>
          <w:color w:val="000000"/>
          <w:shd w:val="clear" w:color="auto" w:fill="FFFFFF"/>
          <w:lang w:val="en-IE"/>
        </w:rPr>
        <w:t xml:space="preserve">In which order should users submit information and how should this be communicated? For example, starting with information about the purpose of lots allows prefilling some fields concerning the purpose of the procedure. However, some users may be more used to starting with the summary information. </w:t>
      </w:r>
    </w:p>
    <w:p w14:paraId="23B9B9A6" w14:textId="72672601" w:rsidR="00162DD7" w:rsidRPr="004D0CBD" w:rsidRDefault="000F34ED" w:rsidP="00730301">
      <w:pPr>
        <w:pStyle w:val="ListParagraph"/>
        <w:numPr>
          <w:ilvl w:val="0"/>
          <w:numId w:val="43"/>
        </w:numPr>
        <w:textAlignment w:val="baseline"/>
        <w:rPr>
          <w:rFonts w:ascii="docs-Calibri" w:hAnsi="docs-Calibri"/>
          <w:color w:val="000000"/>
          <w:sz w:val="17"/>
          <w:szCs w:val="17"/>
          <w:shd w:val="clear" w:color="auto" w:fill="FFFFFF"/>
          <w:lang w:val="en-IE"/>
        </w:rPr>
      </w:pPr>
      <w:r w:rsidRPr="004D0CBD">
        <w:rPr>
          <w:rFonts w:cstheme="minorHAnsi"/>
          <w:color w:val="000000"/>
          <w:shd w:val="clear" w:color="auto" w:fill="FFFFFF"/>
          <w:lang w:val="en-IE"/>
        </w:rPr>
        <w:t xml:space="preserve">Concerning CPV codes – part of Purpose – how can user interfaces help </w:t>
      </w:r>
      <w:r w:rsidR="004D0CBD" w:rsidRPr="004D0CBD">
        <w:rPr>
          <w:rFonts w:cstheme="minorHAnsi"/>
          <w:color w:val="000000"/>
          <w:shd w:val="clear" w:color="auto" w:fill="FFFFFF"/>
          <w:lang w:val="en-IE"/>
        </w:rPr>
        <w:t xml:space="preserve">find the most useful fields? Furthermore, how can user interfaces nudge users </w:t>
      </w:r>
      <w:r w:rsidR="00E7400A">
        <w:rPr>
          <w:rFonts w:cstheme="minorHAnsi"/>
          <w:color w:val="000000"/>
          <w:shd w:val="clear" w:color="auto" w:fill="FFFFFF"/>
          <w:lang w:val="en-IE"/>
        </w:rPr>
        <w:t xml:space="preserve">to </w:t>
      </w:r>
      <w:r w:rsidR="004D0CBD" w:rsidRPr="004D0CBD">
        <w:rPr>
          <w:rFonts w:cstheme="minorHAnsi"/>
          <w:color w:val="000000"/>
          <w:shd w:val="clear" w:color="auto" w:fill="FFFFFF"/>
          <w:lang w:val="en-IE"/>
        </w:rPr>
        <w:t xml:space="preserve">give more detailed fields that </w:t>
      </w:r>
      <w:r w:rsidR="00E7400A">
        <w:rPr>
          <w:rFonts w:cstheme="minorHAnsi"/>
          <w:color w:val="000000"/>
          <w:shd w:val="clear" w:color="auto" w:fill="FFFFFF"/>
          <w:lang w:val="en-IE"/>
        </w:rPr>
        <w:t>will be</w:t>
      </w:r>
      <w:r w:rsidR="00E7400A" w:rsidRPr="004D0CBD">
        <w:rPr>
          <w:rFonts w:cstheme="minorHAnsi"/>
          <w:color w:val="000000"/>
          <w:shd w:val="clear" w:color="auto" w:fill="FFFFFF"/>
          <w:lang w:val="en-IE"/>
        </w:rPr>
        <w:t xml:space="preserve"> </w:t>
      </w:r>
      <w:r w:rsidR="004D0CBD" w:rsidRPr="004D0CBD">
        <w:rPr>
          <w:rFonts w:cstheme="minorHAnsi"/>
          <w:color w:val="000000"/>
          <w:shd w:val="clear" w:color="auto" w:fill="FFFFFF"/>
          <w:lang w:val="en-IE"/>
        </w:rPr>
        <w:t xml:space="preserve">more useful for economic operators? For example, each time a </w:t>
      </w:r>
      <w:r w:rsidR="00162DD7" w:rsidRPr="004D0CBD">
        <w:rPr>
          <w:rFonts w:cstheme="minorHAnsi"/>
          <w:color w:val="000000"/>
          <w:shd w:val="clear" w:color="auto" w:fill="FFFFFF"/>
          <w:lang w:val="en-IE"/>
        </w:rPr>
        <w:t xml:space="preserve">CPV code which has further sub-elements is used (e.g. 76400000), </w:t>
      </w:r>
      <w:r w:rsidR="004D0CBD" w:rsidRPr="004D0CBD">
        <w:rPr>
          <w:rFonts w:cstheme="minorHAnsi"/>
          <w:color w:val="000000"/>
          <w:shd w:val="clear" w:color="auto" w:fill="FFFFFF"/>
          <w:lang w:val="en-IE"/>
        </w:rPr>
        <w:t xml:space="preserve">then </w:t>
      </w:r>
      <w:r w:rsidR="00162DD7" w:rsidRPr="004D0CBD">
        <w:rPr>
          <w:rFonts w:cstheme="minorHAnsi"/>
          <w:color w:val="000000"/>
          <w:shd w:val="clear" w:color="auto" w:fill="FFFFFF"/>
          <w:lang w:val="en-IE"/>
        </w:rPr>
        <w:t xml:space="preserve">the question "are you sure a more detailed code cannot be used?" should be asked by the interface. </w:t>
      </w:r>
    </w:p>
    <w:p w14:paraId="3221B4D9" w14:textId="6858143C" w:rsidR="005E189E" w:rsidRDefault="005E189E" w:rsidP="00EB186D">
      <w:pPr>
        <w:pStyle w:val="Heading2"/>
        <w:numPr>
          <w:ilvl w:val="1"/>
          <w:numId w:val="49"/>
        </w:numPr>
        <w:rPr>
          <w:lang w:val="en-IE"/>
        </w:rPr>
      </w:pPr>
      <w:bookmarkStart w:id="97" w:name="_Toc25684119"/>
      <w:r>
        <w:rPr>
          <w:lang w:val="en-IE"/>
        </w:rPr>
        <w:t>Place of Performance</w:t>
      </w:r>
      <w:bookmarkEnd w:id="97"/>
    </w:p>
    <w:p w14:paraId="160D2514" w14:textId="165D3F2C" w:rsidR="00D61AFD" w:rsidRDefault="00D61AFD" w:rsidP="00D61AFD">
      <w:pPr>
        <w:pStyle w:val="NoSpacing"/>
        <w:rPr>
          <w:lang w:val="en-IE"/>
        </w:rPr>
      </w:pPr>
    </w:p>
    <w:p w14:paraId="496443AF" w14:textId="77777777" w:rsidR="00D61AFD" w:rsidRDefault="00D61AFD" w:rsidP="00D61AFD">
      <w:pPr>
        <w:pStyle w:val="NoSpacing"/>
        <w:rPr>
          <w:lang w:val="en-IE"/>
        </w:rPr>
      </w:pPr>
      <w:r w:rsidRPr="0059550D">
        <w:rPr>
          <w:lang w:val="en-IE"/>
        </w:rPr>
        <w:t>Designers should explore the following topics:</w:t>
      </w:r>
    </w:p>
    <w:p w14:paraId="26636366" w14:textId="77777777" w:rsidR="0017279B" w:rsidRPr="0017279B" w:rsidRDefault="00ED6E12" w:rsidP="00730301">
      <w:pPr>
        <w:pStyle w:val="NoSpacing"/>
        <w:numPr>
          <w:ilvl w:val="0"/>
          <w:numId w:val="44"/>
        </w:numPr>
        <w:textAlignment w:val="baseline"/>
        <w:rPr>
          <w:rFonts w:cstheme="minorHAnsi"/>
          <w:color w:val="000000"/>
          <w:shd w:val="clear" w:color="auto" w:fill="FFFFFF"/>
          <w:lang w:val="en-IE"/>
        </w:rPr>
      </w:pPr>
      <w:r w:rsidRPr="0017279B">
        <w:rPr>
          <w:lang w:val="en-IE"/>
        </w:rPr>
        <w:t>How can the field be filled in easily? For example, for supplies, should the fields be filled in with the buyer’s address, since the place of delivery will usually be the buyer? Should there be a checkbox saying “same as buyer address”? For services (or specific subsections of services, e.g. IT services</w:t>
      </w:r>
      <w:r w:rsidR="0017279B" w:rsidRPr="0017279B">
        <w:rPr>
          <w:lang w:val="en-IE"/>
        </w:rPr>
        <w:t xml:space="preserve">), should the default be “Anywhere”, as it typically does not matter where a study is written, application programmed? </w:t>
      </w:r>
    </w:p>
    <w:p w14:paraId="78971D9F" w14:textId="7A29E8CC" w:rsidR="005E189E" w:rsidRPr="00EB186D" w:rsidRDefault="00185F04" w:rsidP="00EB186D">
      <w:pPr>
        <w:pStyle w:val="NoSpacing"/>
        <w:numPr>
          <w:ilvl w:val="0"/>
          <w:numId w:val="44"/>
        </w:numPr>
        <w:textAlignment w:val="baseline"/>
        <w:rPr>
          <w:rFonts w:ascii="docs-Calibri" w:hAnsi="docs-Calibri"/>
          <w:color w:val="000000"/>
          <w:sz w:val="17"/>
          <w:szCs w:val="17"/>
          <w:shd w:val="clear" w:color="auto" w:fill="FFFFFF"/>
          <w:lang w:val="en-IE"/>
        </w:rPr>
      </w:pPr>
      <w:r>
        <w:rPr>
          <w:rFonts w:cstheme="minorHAnsi"/>
          <w:color w:val="000000"/>
          <w:shd w:val="clear" w:color="auto" w:fill="FFFFFF"/>
          <w:lang w:val="en-IE"/>
        </w:rPr>
        <w:t>Can postcode be used to prefill NUTS code, which can prefill country?</w:t>
      </w:r>
      <w:r>
        <w:rPr>
          <w:rStyle w:val="FootnoteReference"/>
          <w:rFonts w:cstheme="minorHAnsi"/>
          <w:color w:val="000000"/>
          <w:shd w:val="clear" w:color="auto" w:fill="FFFFFF"/>
          <w:lang w:val="en-IE"/>
        </w:rPr>
        <w:footnoteReference w:id="99"/>
      </w:r>
      <w:r>
        <w:rPr>
          <w:rFonts w:cstheme="minorHAnsi"/>
          <w:color w:val="000000"/>
          <w:shd w:val="clear" w:color="auto" w:fill="FFFFFF"/>
          <w:lang w:val="en-IE"/>
        </w:rPr>
        <w:t xml:space="preserve"> </w:t>
      </w:r>
    </w:p>
    <w:p w14:paraId="7424A8DF" w14:textId="4801F389" w:rsidR="005E189E" w:rsidRPr="005E189E" w:rsidRDefault="005E189E" w:rsidP="00EB186D">
      <w:pPr>
        <w:pStyle w:val="Heading2"/>
        <w:numPr>
          <w:ilvl w:val="1"/>
          <w:numId w:val="49"/>
        </w:numPr>
        <w:rPr>
          <w:lang w:val="en-IE"/>
        </w:rPr>
      </w:pPr>
      <w:bookmarkStart w:id="98" w:name="_Toc25684120"/>
      <w:r>
        <w:rPr>
          <w:lang w:val="en-IE"/>
        </w:rPr>
        <w:t>Unpublished fields</w:t>
      </w:r>
      <w:bookmarkEnd w:id="98"/>
    </w:p>
    <w:p w14:paraId="17681485" w14:textId="2115D9A9" w:rsidR="007A0698" w:rsidRPr="00594415" w:rsidRDefault="007A0698" w:rsidP="00EB186D">
      <w:pPr>
        <w:pStyle w:val="NoSpacing"/>
        <w:rPr>
          <w:shd w:val="clear" w:color="auto" w:fill="FFFFFF"/>
          <w:lang w:val="en-IE"/>
        </w:rPr>
      </w:pPr>
      <w:r>
        <w:rPr>
          <w:lang w:val="en-IE"/>
        </w:rPr>
        <w:t xml:space="preserve">If unpublishing fields is used (see section </w:t>
      </w:r>
      <w:r>
        <w:rPr>
          <w:lang w:val="en-IE"/>
        </w:rPr>
        <w:fldChar w:fldCharType="begin"/>
      </w:r>
      <w:r>
        <w:rPr>
          <w:lang w:val="en-IE"/>
        </w:rPr>
        <w:instrText xml:space="preserve"> REF _Ref19553030 \r \h </w:instrText>
      </w:r>
      <w:r>
        <w:rPr>
          <w:lang w:val="en-IE"/>
        </w:rPr>
      </w:r>
      <w:r>
        <w:rPr>
          <w:lang w:val="en-IE"/>
        </w:rPr>
        <w:fldChar w:fldCharType="separate"/>
      </w:r>
      <w:r w:rsidR="00031242">
        <w:rPr>
          <w:lang w:val="en-IE"/>
        </w:rPr>
        <w:t>3.5.2</w:t>
      </w:r>
      <w:r>
        <w:rPr>
          <w:lang w:val="en-IE"/>
        </w:rPr>
        <w:fldChar w:fldCharType="end"/>
      </w:r>
      <w:r>
        <w:rPr>
          <w:lang w:val="en-IE"/>
        </w:rPr>
        <w:t>), d</w:t>
      </w:r>
      <w:r w:rsidRPr="0059550D">
        <w:rPr>
          <w:lang w:val="en-IE"/>
        </w:rPr>
        <w:t xml:space="preserve">esigners should explore </w:t>
      </w:r>
      <w:r>
        <w:rPr>
          <w:lang w:val="en-IE"/>
        </w:rPr>
        <w:t>how to make the field user friendly. For example, after answering a question “Some fields should be unpublished”, a list of possible fields can appear with a checkbox next to each and for each check, a justifications and date of publication required.</w:t>
      </w:r>
    </w:p>
    <w:p w14:paraId="2DA146D3" w14:textId="091D0E47" w:rsidR="00860C0A" w:rsidRPr="00860C0A" w:rsidRDefault="00E908A8" w:rsidP="00EB186D">
      <w:pPr>
        <w:pStyle w:val="Heading2"/>
        <w:numPr>
          <w:ilvl w:val="1"/>
          <w:numId w:val="49"/>
        </w:numPr>
        <w:rPr>
          <w:lang w:val="en-IE"/>
        </w:rPr>
      </w:pPr>
      <w:bookmarkStart w:id="99" w:name="_Toc25684121"/>
      <w:r>
        <w:rPr>
          <w:lang w:val="en-IE"/>
        </w:rPr>
        <w:t>Cancelled procedure vs. no awarded contr</w:t>
      </w:r>
      <w:r w:rsidR="001914E4">
        <w:rPr>
          <w:lang w:val="en-IE"/>
        </w:rPr>
        <w:t>act</w:t>
      </w:r>
      <w:bookmarkEnd w:id="99"/>
    </w:p>
    <w:p w14:paraId="1F26E6CB" w14:textId="77777777" w:rsidR="00860C0A" w:rsidRDefault="00860C0A" w:rsidP="00860C0A">
      <w:pPr>
        <w:pStyle w:val="NoSpacing"/>
        <w:rPr>
          <w:lang w:val="en-IE"/>
        </w:rPr>
      </w:pPr>
    </w:p>
    <w:p w14:paraId="273AA8AC" w14:textId="531BB9CF" w:rsidR="00E908A8" w:rsidRDefault="00E908A8" w:rsidP="00860C0A">
      <w:pPr>
        <w:pStyle w:val="NoSpacing"/>
        <w:rPr>
          <w:lang w:val="en-IE"/>
        </w:rPr>
      </w:pPr>
      <w:r>
        <w:rPr>
          <w:lang w:val="en-IE"/>
        </w:rPr>
        <w:t>Two situations need to be distinguished</w:t>
      </w:r>
      <w:r w:rsidR="00F85A86">
        <w:rPr>
          <w:lang w:val="en-IE"/>
        </w:rPr>
        <w:t>, depending on whether the deadline for the submission of tenders has already passed</w:t>
      </w:r>
      <w:r>
        <w:rPr>
          <w:lang w:val="en-IE"/>
        </w:rPr>
        <w:t xml:space="preserve">: </w:t>
      </w:r>
    </w:p>
    <w:p w14:paraId="6BF46576" w14:textId="345019BB" w:rsidR="00E908A8" w:rsidRDefault="00E908A8" w:rsidP="00730301">
      <w:pPr>
        <w:pStyle w:val="NoSpacing"/>
        <w:numPr>
          <w:ilvl w:val="0"/>
          <w:numId w:val="46"/>
        </w:numPr>
        <w:rPr>
          <w:lang w:val="en-IE"/>
        </w:rPr>
      </w:pPr>
      <w:r>
        <w:rPr>
          <w:lang w:val="en-IE"/>
        </w:rPr>
        <w:t xml:space="preserve">Cancelling a procedure (or a lot): this happens if a procedure is cancelled before the deadline for submission of tenders has </w:t>
      </w:r>
      <w:r w:rsidR="005704AF">
        <w:rPr>
          <w:lang w:val="en-IE"/>
        </w:rPr>
        <w:t>passed (e.g. because the buyer’s needs have changed)</w:t>
      </w:r>
      <w:r w:rsidR="00F85A86">
        <w:rPr>
          <w:lang w:val="en-IE"/>
        </w:rPr>
        <w:t>.</w:t>
      </w:r>
    </w:p>
    <w:p w14:paraId="1B19B2CF" w14:textId="725D46FA" w:rsidR="00E908A8" w:rsidRDefault="005704AF" w:rsidP="00730301">
      <w:pPr>
        <w:pStyle w:val="NoSpacing"/>
        <w:numPr>
          <w:ilvl w:val="0"/>
          <w:numId w:val="46"/>
        </w:numPr>
        <w:rPr>
          <w:lang w:val="en-IE"/>
        </w:rPr>
      </w:pPr>
      <w:r>
        <w:rPr>
          <w:lang w:val="en-IE"/>
        </w:rPr>
        <w:lastRenderedPageBreak/>
        <w:t xml:space="preserve">Not awarding </w:t>
      </w:r>
      <w:r w:rsidR="00383E0B">
        <w:rPr>
          <w:lang w:val="en-IE"/>
        </w:rPr>
        <w:t>a contract after a procedure has run its course</w:t>
      </w:r>
      <w:r>
        <w:rPr>
          <w:lang w:val="en-IE"/>
        </w:rPr>
        <w:t xml:space="preserve">: </w:t>
      </w:r>
      <w:r w:rsidR="00E908A8">
        <w:rPr>
          <w:lang w:val="en-IE"/>
        </w:rPr>
        <w:t xml:space="preserve">the deadline for submission of tenders passes, but then no contract is awarded </w:t>
      </w:r>
      <w:r>
        <w:rPr>
          <w:lang w:val="en-IE"/>
        </w:rPr>
        <w:t>(e.g. because no</w:t>
      </w:r>
      <w:r w:rsidR="00972549">
        <w:rPr>
          <w:lang w:val="en-IE"/>
        </w:rPr>
        <w:t xml:space="preserve"> suitable</w:t>
      </w:r>
      <w:r>
        <w:rPr>
          <w:lang w:val="en-IE"/>
        </w:rPr>
        <w:t xml:space="preserve"> tenders were submitted; because the buyer’s needs have changed</w:t>
      </w:r>
      <w:r w:rsidR="00F85A86">
        <w:rPr>
          <w:lang w:val="en-IE"/>
        </w:rPr>
        <w:t>).</w:t>
      </w:r>
    </w:p>
    <w:p w14:paraId="7F479F84" w14:textId="76D67CB0" w:rsidR="005704AF" w:rsidRDefault="005704AF" w:rsidP="005704AF">
      <w:pPr>
        <w:pStyle w:val="NoSpacing"/>
        <w:rPr>
          <w:lang w:val="en-IE"/>
        </w:rPr>
      </w:pPr>
    </w:p>
    <w:p w14:paraId="06514591" w14:textId="77777777" w:rsidR="0036544D" w:rsidRDefault="0036544D" w:rsidP="005704AF">
      <w:pPr>
        <w:pStyle w:val="NoSpacing"/>
        <w:rPr>
          <w:lang w:val="en-IE"/>
        </w:rPr>
      </w:pPr>
      <w:r>
        <w:rPr>
          <w:lang w:val="en-IE"/>
        </w:rPr>
        <w:t>Procedures are cancelled using a Change form, with the Change Reason Code (BT-140) equal to “</w:t>
      </w:r>
      <w:r w:rsidRPr="0036544D">
        <w:rPr>
          <w:lang w:val="en-IE"/>
        </w:rPr>
        <w:t>The notice (or its specific lot or part) is cancelled.</w:t>
      </w:r>
      <w:r>
        <w:rPr>
          <w:lang w:val="en-IE"/>
        </w:rPr>
        <w:t xml:space="preserve">” </w:t>
      </w:r>
    </w:p>
    <w:p w14:paraId="54AB7439" w14:textId="77777777" w:rsidR="0036544D" w:rsidRDefault="0036544D" w:rsidP="005704AF">
      <w:pPr>
        <w:pStyle w:val="NoSpacing"/>
        <w:rPr>
          <w:lang w:val="en-IE"/>
        </w:rPr>
      </w:pPr>
    </w:p>
    <w:p w14:paraId="1D7A598F" w14:textId="56B5ACDA" w:rsidR="005704AF" w:rsidRDefault="0036544D" w:rsidP="005704AF">
      <w:pPr>
        <w:pStyle w:val="NoSpacing"/>
        <w:rPr>
          <w:lang w:val="en-IE"/>
        </w:rPr>
      </w:pPr>
      <w:r>
        <w:rPr>
          <w:lang w:val="en-IE"/>
        </w:rPr>
        <w:t>In procedures that ran their course, but did not result in an awarded contract, the contract award notice must still be published, with Winner Chosen (BT-142) equal to “</w:t>
      </w:r>
      <w:r w:rsidRPr="0036544D">
        <w:rPr>
          <w:lang w:val="en-IE"/>
        </w:rPr>
        <w:t>No winner was chosen and the competition is closed.</w:t>
      </w:r>
      <w:r>
        <w:rPr>
          <w:lang w:val="en-IE"/>
        </w:rPr>
        <w:t xml:space="preserve">” </w:t>
      </w:r>
      <w:r w:rsidR="009A513A">
        <w:rPr>
          <w:lang w:val="en-IE"/>
        </w:rPr>
        <w:t xml:space="preserve">(and the reasons specified in </w:t>
      </w:r>
      <w:r>
        <w:rPr>
          <w:lang w:val="en-IE"/>
        </w:rPr>
        <w:t xml:space="preserve">Not Awarded Reason (BT-144) </w:t>
      </w:r>
      <w:r w:rsidR="009A513A">
        <w:rPr>
          <w:lang w:val="en-IE"/>
        </w:rPr>
        <w:t xml:space="preserve">). </w:t>
      </w:r>
    </w:p>
    <w:p w14:paraId="12B51711" w14:textId="6D496979" w:rsidR="004634D9" w:rsidRDefault="004634D9" w:rsidP="005704AF">
      <w:pPr>
        <w:pStyle w:val="NoSpacing"/>
        <w:rPr>
          <w:lang w:val="en-IE"/>
        </w:rPr>
      </w:pPr>
    </w:p>
    <w:p w14:paraId="37377D41" w14:textId="16608141" w:rsidR="004634D9" w:rsidRPr="0059550D" w:rsidRDefault="004634D9" w:rsidP="004634D9">
      <w:pPr>
        <w:pStyle w:val="NoSpacing"/>
        <w:rPr>
          <w:lang w:val="en-IE"/>
        </w:rPr>
      </w:pPr>
      <w:r>
        <w:rPr>
          <w:lang w:val="en-IE"/>
        </w:rPr>
        <w:t xml:space="preserve">Both the change notice and the contract award notice discussed above can include the </w:t>
      </w:r>
      <w:r w:rsidRPr="0059550D">
        <w:rPr>
          <w:lang w:val="en-IE"/>
        </w:rPr>
        <w:t>Procurement Relaunch (BT-634)</w:t>
      </w:r>
      <w:r>
        <w:rPr>
          <w:lang w:val="en-IE"/>
        </w:rPr>
        <w:t xml:space="preserve"> field, which informs that the procedure will be relaunched. </w:t>
      </w:r>
    </w:p>
    <w:p w14:paraId="556DD38F" w14:textId="77777777" w:rsidR="00E908A8" w:rsidRDefault="00E908A8" w:rsidP="00860C0A">
      <w:pPr>
        <w:pStyle w:val="NoSpacing"/>
        <w:rPr>
          <w:i/>
          <w:lang w:val="en-IE"/>
        </w:rPr>
      </w:pPr>
    </w:p>
    <w:p w14:paraId="2AA6335E" w14:textId="1C1B79DB" w:rsidR="00860C0A" w:rsidRDefault="009A513A" w:rsidP="00860C0A">
      <w:pPr>
        <w:pStyle w:val="NoSpacing"/>
        <w:rPr>
          <w:lang w:val="en-IE"/>
        </w:rPr>
      </w:pPr>
      <w:r w:rsidRPr="0059550D">
        <w:rPr>
          <w:lang w:val="en-IE"/>
        </w:rPr>
        <w:t xml:space="preserve">Designers should </w:t>
      </w:r>
      <w:r w:rsidR="00383E0B">
        <w:rPr>
          <w:lang w:val="en-IE"/>
        </w:rPr>
        <w:t xml:space="preserve">ensure that the difference between </w:t>
      </w:r>
      <w:r w:rsidR="004634D9">
        <w:rPr>
          <w:lang w:val="en-IE"/>
        </w:rPr>
        <w:t xml:space="preserve">the </w:t>
      </w:r>
      <w:r w:rsidR="00383E0B">
        <w:rPr>
          <w:lang w:val="en-IE"/>
        </w:rPr>
        <w:t xml:space="preserve">two cases is clear and </w:t>
      </w:r>
      <w:r w:rsidR="00CA4129">
        <w:rPr>
          <w:lang w:val="en-IE"/>
        </w:rPr>
        <w:t xml:space="preserve">users notify them </w:t>
      </w:r>
      <w:r w:rsidR="00383E0B">
        <w:rPr>
          <w:lang w:val="en-IE"/>
        </w:rPr>
        <w:t>correctly.</w:t>
      </w:r>
      <w:r w:rsidR="004634D9">
        <w:rPr>
          <w:lang w:val="en-IE"/>
        </w:rPr>
        <w:t xml:space="preserve">  </w:t>
      </w:r>
    </w:p>
    <w:p w14:paraId="2C7EC22D" w14:textId="587A8821" w:rsidR="00860C0A" w:rsidRPr="00860C0A" w:rsidRDefault="00860C0A" w:rsidP="00EB186D">
      <w:pPr>
        <w:pStyle w:val="Heading2"/>
        <w:numPr>
          <w:ilvl w:val="1"/>
          <w:numId w:val="49"/>
        </w:numPr>
        <w:rPr>
          <w:lang w:val="en-IE"/>
        </w:rPr>
      </w:pPr>
      <w:bookmarkStart w:id="100" w:name="_Toc25684122"/>
      <w:r>
        <w:rPr>
          <w:lang w:val="en-IE"/>
        </w:rPr>
        <w:t>Adding intermediary steps</w:t>
      </w:r>
      <w:bookmarkEnd w:id="100"/>
    </w:p>
    <w:p w14:paraId="59478C6E" w14:textId="2803FC94" w:rsidR="00C9748C" w:rsidRDefault="00C9748C" w:rsidP="00860C0A">
      <w:pPr>
        <w:textAlignment w:val="baseline"/>
        <w:rPr>
          <w:lang w:val="en-IE"/>
        </w:rPr>
      </w:pPr>
      <w:r>
        <w:rPr>
          <w:lang w:val="en-IE"/>
        </w:rPr>
        <w:t>D</w:t>
      </w:r>
      <w:r w:rsidRPr="0059550D">
        <w:rPr>
          <w:lang w:val="en-IE"/>
        </w:rPr>
        <w:t>esigners should explore</w:t>
      </w:r>
      <w:r>
        <w:rPr>
          <w:lang w:val="en-IE"/>
        </w:rPr>
        <w:t xml:space="preserve"> the added value of adding intermediary steps. For example:</w:t>
      </w:r>
    </w:p>
    <w:p w14:paraId="67397B61" w14:textId="77777777" w:rsidR="00C9748C" w:rsidRDefault="00C9748C" w:rsidP="00730301">
      <w:pPr>
        <w:pStyle w:val="ListParagraph"/>
        <w:numPr>
          <w:ilvl w:val="0"/>
          <w:numId w:val="45"/>
        </w:numPr>
        <w:textAlignment w:val="baseline"/>
        <w:rPr>
          <w:lang w:val="en-IE"/>
        </w:rPr>
      </w:pPr>
      <w:r>
        <w:rPr>
          <w:lang w:val="en-IE"/>
        </w:rPr>
        <w:t xml:space="preserve">The Additional Nature (BT-531) field can be displayed only after asking “Is this a mixed contract”. </w:t>
      </w:r>
    </w:p>
    <w:p w14:paraId="3E4EDFC9" w14:textId="33986FC2" w:rsidR="00C9748C" w:rsidRDefault="00C9748C" w:rsidP="00730301">
      <w:pPr>
        <w:pStyle w:val="ListParagraph"/>
        <w:numPr>
          <w:ilvl w:val="0"/>
          <w:numId w:val="45"/>
        </w:numPr>
        <w:textAlignment w:val="baseline"/>
        <w:rPr>
          <w:lang w:val="en-IE"/>
        </w:rPr>
      </w:pPr>
      <w:r>
        <w:rPr>
          <w:lang w:val="en-IE"/>
        </w:rPr>
        <w:t xml:space="preserve">“Consortia” can be used in an interface to group economic operators, even though in eForms they are only stored implicitly (as economic operators that are linked to the same Winning Tender). </w:t>
      </w:r>
    </w:p>
    <w:p w14:paraId="5C015353" w14:textId="0ED722F3" w:rsidR="00FA39C8" w:rsidRDefault="008366F4" w:rsidP="00730301">
      <w:pPr>
        <w:pStyle w:val="ListParagraph"/>
        <w:numPr>
          <w:ilvl w:val="0"/>
          <w:numId w:val="45"/>
        </w:numPr>
        <w:textAlignment w:val="baseline"/>
        <w:rPr>
          <w:rFonts w:ascii="Calibri" w:hAnsi="Calibri" w:cs="Calibri"/>
          <w:color w:val="000000"/>
          <w:lang w:val="en-IE"/>
        </w:rPr>
      </w:pPr>
      <w:r>
        <w:rPr>
          <w:lang w:val="en-IE"/>
        </w:rPr>
        <w:t>Some c</w:t>
      </w:r>
      <w:r w:rsidR="00FA39C8" w:rsidRPr="00FA39C8">
        <w:rPr>
          <w:lang w:val="en-IE"/>
        </w:rPr>
        <w:t>ode</w:t>
      </w:r>
      <w:r>
        <w:rPr>
          <w:lang w:val="en-IE"/>
        </w:rPr>
        <w:t xml:space="preserve"> </w:t>
      </w:r>
      <w:r w:rsidR="00FA39C8" w:rsidRPr="00FA39C8">
        <w:rPr>
          <w:lang w:val="en-IE"/>
        </w:rPr>
        <w:t>lists may be presented as classifications</w:t>
      </w:r>
      <w:r w:rsidR="00FA39C8">
        <w:rPr>
          <w:lang w:val="en-IE"/>
        </w:rPr>
        <w:t xml:space="preserve"> (e.g. CPV)</w:t>
      </w:r>
      <w:r w:rsidR="00FA39C8" w:rsidRPr="00FA39C8">
        <w:rPr>
          <w:lang w:val="en-IE"/>
        </w:rPr>
        <w:t xml:space="preserve">. For example, in Direct Award Justification Code (BT-136), several codes can be subsumed under </w:t>
      </w:r>
      <w:r w:rsidR="003147E3" w:rsidRPr="00FA39C8">
        <w:rPr>
          <w:rFonts w:ascii="Calibri" w:hAnsi="Calibri" w:cs="Calibri"/>
          <w:color w:val="000000"/>
          <w:lang w:val="en-IE"/>
        </w:rPr>
        <w:t xml:space="preserve">"The contract can be provided only by a particular economic operator because of:" </w:t>
      </w:r>
      <w:r w:rsidR="00FA39C8">
        <w:rPr>
          <w:rFonts w:ascii="Calibri" w:hAnsi="Calibri" w:cs="Calibri"/>
          <w:color w:val="000000"/>
          <w:lang w:val="en-IE"/>
        </w:rPr>
        <w:t xml:space="preserve">and only if this option is selected, then a second layer can be shown with options such as “because of absence of competition for technical reasons”, “because of exclusive rights, including intellectual property rights”, etc. </w:t>
      </w:r>
    </w:p>
    <w:p w14:paraId="7D9B62F7" w14:textId="7489E346" w:rsidR="00943C25" w:rsidRPr="00860C0A" w:rsidRDefault="00943C25" w:rsidP="00EB186D">
      <w:pPr>
        <w:pStyle w:val="Heading2"/>
        <w:numPr>
          <w:ilvl w:val="1"/>
          <w:numId w:val="49"/>
        </w:numPr>
        <w:rPr>
          <w:lang w:val="en-IE"/>
        </w:rPr>
      </w:pPr>
      <w:bookmarkStart w:id="101" w:name="_Ref20513857"/>
      <w:bookmarkStart w:id="102" w:name="_Toc25684123"/>
      <w:r>
        <w:rPr>
          <w:lang w:val="en-IE"/>
        </w:rPr>
        <w:t>Changing notices</w:t>
      </w:r>
      <w:bookmarkEnd w:id="101"/>
      <w:bookmarkEnd w:id="102"/>
      <w:r>
        <w:rPr>
          <w:lang w:val="en-IE"/>
        </w:rPr>
        <w:t xml:space="preserve"> </w:t>
      </w:r>
    </w:p>
    <w:p w14:paraId="15AC1BE3" w14:textId="5C771446" w:rsidR="00FB5E66" w:rsidRDefault="00943C25" w:rsidP="00FB5E66">
      <w:pPr>
        <w:pStyle w:val="NoSpacing"/>
        <w:rPr>
          <w:lang w:val="en-IE"/>
        </w:rPr>
      </w:pPr>
      <w:r>
        <w:rPr>
          <w:lang w:val="en-IE"/>
        </w:rPr>
        <w:t>Changing (updating information, adding or removing information and cancelling notices, see above) published notices is simpler and more flexible than previously</w:t>
      </w:r>
      <w:r w:rsidR="00FB5E66">
        <w:rPr>
          <w:lang w:val="en-IE"/>
        </w:rPr>
        <w:t xml:space="preserve">. </w:t>
      </w:r>
      <w:r w:rsidR="008A25BA">
        <w:t>T</w:t>
      </w:r>
      <w:r w:rsidR="00FB5E66">
        <w:t xml:space="preserve">he </w:t>
      </w:r>
      <w:r w:rsidR="00CF0B6F">
        <w:t>Procurement D</w:t>
      </w:r>
      <w:r w:rsidR="00FB5E66">
        <w:t xml:space="preserve">irectives do not give a black-and-white rule that would allow an automated restriction of changes only to certain fields or certain </w:t>
      </w:r>
      <w:r w:rsidR="00FB5E66" w:rsidRPr="00276CE0">
        <w:t>timeframes</w:t>
      </w:r>
      <w:r w:rsidR="00FB5E66" w:rsidRPr="004D2A4B">
        <w:t>.</w:t>
      </w:r>
    </w:p>
    <w:p w14:paraId="16931E85" w14:textId="77777777" w:rsidR="005027DC" w:rsidRDefault="005027DC" w:rsidP="00FD1042">
      <w:pPr>
        <w:pStyle w:val="NoSpacing"/>
      </w:pPr>
    </w:p>
    <w:p w14:paraId="75C80930" w14:textId="77777777" w:rsidR="00FD1042" w:rsidRDefault="00FD1042" w:rsidP="00FD1042">
      <w:pPr>
        <w:pStyle w:val="NoSpacing"/>
        <w:rPr>
          <w:lang w:val="en-IE"/>
        </w:rPr>
      </w:pPr>
      <w:r>
        <w:t>Overall, the eForms philosophy is that regardless of the typo or error, it should be possible to communicate what happened in reality through a notice.</w:t>
      </w:r>
    </w:p>
    <w:p w14:paraId="681A817C" w14:textId="77777777" w:rsidR="00950424" w:rsidRDefault="00950424" w:rsidP="0054319E">
      <w:pPr>
        <w:pStyle w:val="NoSpacing"/>
        <w:rPr>
          <w:lang w:val="en-IE"/>
        </w:rPr>
      </w:pPr>
    </w:p>
    <w:p w14:paraId="755554DE" w14:textId="36C75A4D" w:rsidR="009B55ED" w:rsidRDefault="00943C25">
      <w:pPr>
        <w:spacing w:after="200" w:line="276" w:lineRule="auto"/>
        <w:rPr>
          <w:lang w:val="en-IE"/>
        </w:rPr>
      </w:pPr>
      <w:r>
        <w:rPr>
          <w:lang w:val="en-IE"/>
        </w:rPr>
        <w:t>D</w:t>
      </w:r>
      <w:r w:rsidRPr="0059550D">
        <w:rPr>
          <w:lang w:val="en-IE"/>
        </w:rPr>
        <w:t>esigners should explore</w:t>
      </w:r>
      <w:r>
        <w:rPr>
          <w:lang w:val="en-IE"/>
        </w:rPr>
        <w:t xml:space="preserve"> how to simply visualise changing notices. </w:t>
      </w:r>
    </w:p>
    <w:p w14:paraId="6F830D1D" w14:textId="77777777" w:rsidR="009B55ED" w:rsidRDefault="009B55ED">
      <w:pPr>
        <w:spacing w:after="200" w:line="276" w:lineRule="auto"/>
        <w:rPr>
          <w:lang w:val="en-IE"/>
        </w:rPr>
      </w:pPr>
      <w:r>
        <w:rPr>
          <w:lang w:val="en-IE"/>
        </w:rPr>
        <w:br w:type="page"/>
      </w:r>
    </w:p>
    <w:p w14:paraId="2FDC0897" w14:textId="094CB2AB" w:rsidR="00BE6B91" w:rsidRDefault="00BE6B91" w:rsidP="00EB186D">
      <w:pPr>
        <w:pStyle w:val="Heading1"/>
        <w:numPr>
          <w:ilvl w:val="0"/>
          <w:numId w:val="0"/>
        </w:numPr>
        <w:ind w:left="432" w:hanging="432"/>
        <w:rPr>
          <w:lang w:val="en-IE"/>
        </w:rPr>
      </w:pPr>
      <w:bookmarkStart w:id="103" w:name="_Ref20512175"/>
      <w:bookmarkStart w:id="104" w:name="_Ref20743845"/>
      <w:bookmarkStart w:id="105" w:name="_Toc25684124"/>
      <w:r>
        <w:rPr>
          <w:lang w:val="en-IE"/>
        </w:rPr>
        <w:lastRenderedPageBreak/>
        <w:t>Annex I</w:t>
      </w:r>
      <w:r w:rsidR="00CF0B6F">
        <w:rPr>
          <w:lang w:val="en-IE"/>
        </w:rPr>
        <w:t>I</w:t>
      </w:r>
      <w:r>
        <w:rPr>
          <w:lang w:val="en-IE"/>
        </w:rPr>
        <w:t xml:space="preserve"> – Using GitHub</w:t>
      </w:r>
      <w:bookmarkEnd w:id="103"/>
      <w:bookmarkEnd w:id="104"/>
      <w:bookmarkEnd w:id="105"/>
    </w:p>
    <w:p w14:paraId="24F757AC" w14:textId="3929C863" w:rsidR="005608BD" w:rsidRDefault="00B70B29" w:rsidP="005608BD">
      <w:pPr>
        <w:pStyle w:val="Text2"/>
        <w:spacing w:after="0"/>
        <w:ind w:left="0"/>
        <w:rPr>
          <w:rFonts w:asciiTheme="minorHAnsi" w:hAnsiTheme="minorHAnsi" w:cstheme="minorHAnsi"/>
          <w:sz w:val="22"/>
          <w:szCs w:val="22"/>
        </w:rPr>
      </w:pPr>
      <w:hyperlink r:id="rId25" w:history="1">
        <w:r w:rsidR="005608BD" w:rsidRPr="00896C44">
          <w:rPr>
            <w:rStyle w:val="Hyperlink"/>
            <w:rFonts w:asciiTheme="minorHAnsi" w:hAnsiTheme="minorHAnsi" w:cstheme="minorHAnsi"/>
            <w:sz w:val="22"/>
            <w:szCs w:val="22"/>
          </w:rPr>
          <w:t>GitHub</w:t>
        </w:r>
      </w:hyperlink>
      <w:r w:rsidR="005608BD" w:rsidRPr="00896C44">
        <w:rPr>
          <w:rFonts w:asciiTheme="minorHAnsi" w:hAnsiTheme="minorHAnsi" w:cstheme="minorHAnsi"/>
          <w:sz w:val="22"/>
          <w:szCs w:val="22"/>
        </w:rPr>
        <w:t xml:space="preserve"> </w:t>
      </w:r>
      <w:r w:rsidR="00E73B85" w:rsidRPr="00896C44">
        <w:rPr>
          <w:rFonts w:asciiTheme="minorHAnsi" w:hAnsiTheme="minorHAnsi" w:cstheme="minorHAnsi"/>
          <w:sz w:val="22"/>
          <w:szCs w:val="22"/>
        </w:rPr>
        <w:t xml:space="preserve">is an </w:t>
      </w:r>
      <w:r w:rsidR="005608BD" w:rsidRPr="00896C44">
        <w:rPr>
          <w:rFonts w:asciiTheme="minorHAnsi" w:hAnsiTheme="minorHAnsi" w:cstheme="minorHAnsi"/>
          <w:sz w:val="22"/>
          <w:szCs w:val="22"/>
        </w:rPr>
        <w:t xml:space="preserve">online forum used </w:t>
      </w:r>
      <w:r w:rsidR="00E73B85" w:rsidRPr="00896C44">
        <w:rPr>
          <w:rFonts w:asciiTheme="minorHAnsi" w:hAnsiTheme="minorHAnsi" w:cstheme="minorHAnsi"/>
          <w:sz w:val="22"/>
          <w:szCs w:val="22"/>
        </w:rPr>
        <w:t xml:space="preserve">during the three rounds of </w:t>
      </w:r>
      <w:r w:rsidR="005608BD" w:rsidRPr="00896C44">
        <w:rPr>
          <w:rFonts w:asciiTheme="minorHAnsi" w:hAnsiTheme="minorHAnsi" w:cstheme="minorHAnsi"/>
          <w:sz w:val="22"/>
          <w:szCs w:val="22"/>
        </w:rPr>
        <w:t>consultation</w:t>
      </w:r>
      <w:r w:rsidR="00E73B85" w:rsidRPr="00896C44">
        <w:rPr>
          <w:rFonts w:asciiTheme="minorHAnsi" w:hAnsiTheme="minorHAnsi" w:cstheme="minorHAnsi"/>
          <w:sz w:val="22"/>
          <w:szCs w:val="22"/>
        </w:rPr>
        <w:t xml:space="preserve">s for the draft eForms, with users asking hundreds of questions and submitting more than a thousand comments. All this makes GitHub a unique source of information about eForms. </w:t>
      </w:r>
    </w:p>
    <w:p w14:paraId="2139D1BF" w14:textId="2396B978" w:rsidR="003B7C72" w:rsidRPr="003B7C72" w:rsidRDefault="003B7C72" w:rsidP="003B7C72">
      <w:pPr>
        <w:pStyle w:val="Text2"/>
        <w:spacing w:after="0"/>
        <w:ind w:left="0"/>
        <w:rPr>
          <w:rFonts w:asciiTheme="minorHAnsi" w:hAnsiTheme="minorHAnsi" w:cstheme="minorHAnsi"/>
          <w:sz w:val="22"/>
          <w:szCs w:val="22"/>
        </w:rPr>
      </w:pPr>
      <w:r>
        <w:rPr>
          <w:rFonts w:asciiTheme="minorHAnsi" w:hAnsiTheme="minorHAnsi" w:cstheme="minorHAnsi"/>
          <w:sz w:val="22"/>
          <w:szCs w:val="22"/>
        </w:rPr>
        <w:t xml:space="preserve">For the eForms, </w:t>
      </w:r>
      <w:r w:rsidR="004D2A4B">
        <w:rPr>
          <w:rFonts w:asciiTheme="minorHAnsi" w:hAnsiTheme="minorHAnsi" w:cstheme="minorHAnsi"/>
          <w:sz w:val="22"/>
          <w:szCs w:val="22"/>
        </w:rPr>
        <w:t>the</w:t>
      </w:r>
      <w:r w:rsidR="004D2A4B" w:rsidRPr="003B7C72">
        <w:rPr>
          <w:rFonts w:asciiTheme="minorHAnsi" w:hAnsiTheme="minorHAnsi" w:cstheme="minorHAnsi"/>
          <w:sz w:val="22"/>
          <w:szCs w:val="22"/>
        </w:rPr>
        <w:t xml:space="preserve"> TED Helpdesk will be used to gather technical issues</w:t>
      </w:r>
      <w:r w:rsidR="004D2A4B">
        <w:rPr>
          <w:rFonts w:asciiTheme="minorHAnsi" w:hAnsiTheme="minorHAnsi" w:cstheme="minorHAnsi"/>
          <w:sz w:val="22"/>
          <w:szCs w:val="22"/>
        </w:rPr>
        <w:t xml:space="preserve">, while </w:t>
      </w:r>
      <w:r w:rsidRPr="003B7C72">
        <w:rPr>
          <w:rFonts w:asciiTheme="minorHAnsi" w:hAnsiTheme="minorHAnsi" w:cstheme="minorHAnsi"/>
          <w:sz w:val="22"/>
          <w:szCs w:val="22"/>
        </w:rPr>
        <w:t xml:space="preserve">GitHub </w:t>
      </w:r>
      <w:r w:rsidR="004D2A4B">
        <w:rPr>
          <w:rFonts w:asciiTheme="minorHAnsi" w:hAnsiTheme="minorHAnsi" w:cstheme="minorHAnsi"/>
          <w:sz w:val="22"/>
          <w:szCs w:val="22"/>
        </w:rPr>
        <w:t>should</w:t>
      </w:r>
      <w:r w:rsidRPr="003B7C72">
        <w:rPr>
          <w:rFonts w:asciiTheme="minorHAnsi" w:hAnsiTheme="minorHAnsi" w:cstheme="minorHAnsi"/>
          <w:sz w:val="22"/>
          <w:szCs w:val="22"/>
        </w:rPr>
        <w:t xml:space="preserve"> be used to gather change requests</w:t>
      </w:r>
      <w:r>
        <w:rPr>
          <w:rFonts w:asciiTheme="minorHAnsi" w:hAnsiTheme="minorHAnsi" w:cstheme="minorHAnsi"/>
          <w:sz w:val="22"/>
          <w:szCs w:val="22"/>
        </w:rPr>
        <w:t>. More information</w:t>
      </w:r>
      <w:r w:rsidR="004D2A4B">
        <w:rPr>
          <w:rFonts w:asciiTheme="minorHAnsi" w:hAnsiTheme="minorHAnsi" w:cstheme="minorHAnsi"/>
          <w:sz w:val="22"/>
          <w:szCs w:val="22"/>
        </w:rPr>
        <w:t xml:space="preserve"> </w:t>
      </w:r>
      <w:r>
        <w:rPr>
          <w:rFonts w:asciiTheme="minorHAnsi" w:hAnsiTheme="minorHAnsi" w:cstheme="minorHAnsi"/>
          <w:sz w:val="22"/>
          <w:szCs w:val="22"/>
        </w:rPr>
        <w:t>is available in the eForms Governance document.</w:t>
      </w:r>
    </w:p>
    <w:p w14:paraId="6D7D8A1E" w14:textId="42304D0D" w:rsidR="003B7C72" w:rsidRPr="00896C44" w:rsidRDefault="003B7C72" w:rsidP="003B7C72">
      <w:pPr>
        <w:pStyle w:val="Text2"/>
        <w:spacing w:after="0"/>
        <w:ind w:left="0"/>
        <w:rPr>
          <w:rFonts w:asciiTheme="minorHAnsi" w:hAnsiTheme="minorHAnsi" w:cstheme="minorHAnsi"/>
          <w:sz w:val="22"/>
          <w:szCs w:val="22"/>
        </w:rPr>
      </w:pPr>
      <w:r w:rsidRPr="003B7C72">
        <w:rPr>
          <w:rFonts w:asciiTheme="minorHAnsi" w:hAnsiTheme="minorHAnsi" w:cstheme="minorHAnsi"/>
          <w:sz w:val="22"/>
          <w:szCs w:val="22"/>
        </w:rPr>
        <w:t xml:space="preserve"> </w:t>
      </w:r>
    </w:p>
    <w:p w14:paraId="3FEB15B6" w14:textId="77777777" w:rsidR="005608BD" w:rsidRDefault="005608BD" w:rsidP="005608BD">
      <w:pPr>
        <w:pStyle w:val="Text2"/>
        <w:spacing w:after="0"/>
        <w:ind w:left="0"/>
      </w:pPr>
    </w:p>
    <w:p w14:paraId="3695A1D0" w14:textId="5E6EF73A" w:rsidR="005608BD" w:rsidRDefault="005608BD" w:rsidP="005608BD">
      <w:pPr>
        <w:pStyle w:val="Heading3"/>
        <w:numPr>
          <w:ilvl w:val="0"/>
          <w:numId w:val="0"/>
        </w:numPr>
        <w:spacing w:before="40"/>
      </w:pPr>
      <w:bookmarkStart w:id="106" w:name="_Toc25684125"/>
      <w:r>
        <w:t>GitHub</w:t>
      </w:r>
      <w:bookmarkEnd w:id="106"/>
    </w:p>
    <w:p w14:paraId="256D75D1" w14:textId="77777777" w:rsidR="005608BD" w:rsidRPr="00CE1601" w:rsidRDefault="005608BD" w:rsidP="005608BD">
      <w:pPr>
        <w:pStyle w:val="Text3"/>
        <w:spacing w:after="0"/>
      </w:pPr>
    </w:p>
    <w:p w14:paraId="734D90D0" w14:textId="31E0BF79" w:rsidR="005608BD" w:rsidRPr="00896C44" w:rsidRDefault="005608BD" w:rsidP="005608BD">
      <w:pPr>
        <w:pStyle w:val="Text2"/>
        <w:ind w:left="0"/>
        <w:rPr>
          <w:rFonts w:asciiTheme="minorHAnsi" w:hAnsiTheme="minorHAnsi" w:cstheme="minorHAnsi"/>
          <w:sz w:val="22"/>
          <w:szCs w:val="22"/>
        </w:rPr>
      </w:pPr>
      <w:r w:rsidRPr="00896C44">
        <w:rPr>
          <w:rFonts w:asciiTheme="minorHAnsi" w:hAnsiTheme="minorHAnsi" w:cstheme="minorHAnsi"/>
          <w:sz w:val="22"/>
          <w:szCs w:val="22"/>
        </w:rPr>
        <w:t>GitHub is a particularly useful tool for complex project</w:t>
      </w:r>
      <w:r w:rsidR="00896C44" w:rsidRPr="00896C44">
        <w:rPr>
          <w:rFonts w:asciiTheme="minorHAnsi" w:hAnsiTheme="minorHAnsi" w:cstheme="minorHAnsi"/>
          <w:sz w:val="22"/>
          <w:szCs w:val="22"/>
        </w:rPr>
        <w:t>s such as eForms</w:t>
      </w:r>
      <w:r w:rsidRPr="00896C44">
        <w:rPr>
          <w:rFonts w:asciiTheme="minorHAnsi" w:hAnsiTheme="minorHAnsi" w:cstheme="minorHAnsi"/>
          <w:sz w:val="22"/>
          <w:szCs w:val="22"/>
        </w:rPr>
        <w:t xml:space="preserve">, because it allows discussing issues one by one, enables exchanges between all participants, and helps keep track of different topics easily and transparently. </w:t>
      </w:r>
    </w:p>
    <w:p w14:paraId="41597FCB" w14:textId="3798790B" w:rsidR="00896C44" w:rsidRPr="00896C44" w:rsidRDefault="00EB78D9" w:rsidP="00896C44">
      <w:pPr>
        <w:rPr>
          <w:rFonts w:cstheme="minorHAnsi"/>
          <w:i/>
        </w:rPr>
      </w:pPr>
      <w:r>
        <w:rPr>
          <w:rFonts w:cstheme="minorHAnsi"/>
        </w:rPr>
        <w:t xml:space="preserve">The easiest way to search for information on GitHub is by </w:t>
      </w:r>
      <w:r w:rsidR="00896C44" w:rsidRPr="00896C44">
        <w:rPr>
          <w:rFonts w:cstheme="minorHAnsi"/>
        </w:rPr>
        <w:t xml:space="preserve">writing the ID number in the search bar </w:t>
      </w:r>
      <w:r>
        <w:rPr>
          <w:rFonts w:cstheme="minorHAnsi"/>
        </w:rPr>
        <w:t xml:space="preserve">(e.g. BT-08, BG-320). Adding </w:t>
      </w:r>
      <w:r w:rsidR="00896C44" w:rsidRPr="00896C44">
        <w:rPr>
          <w:rFonts w:cstheme="minorHAnsi"/>
        </w:rPr>
        <w:t>"in:title"</w:t>
      </w:r>
      <w:r>
        <w:rPr>
          <w:rFonts w:cstheme="minorHAnsi"/>
        </w:rPr>
        <w:t xml:space="preserve"> to the search (e.g. </w:t>
      </w:r>
      <w:r w:rsidRPr="00896C44">
        <w:rPr>
          <w:rFonts w:cstheme="minorHAnsi"/>
        </w:rPr>
        <w:t>"BT-01 in:title"</w:t>
      </w:r>
      <w:r>
        <w:rPr>
          <w:rFonts w:cstheme="minorHAnsi"/>
        </w:rPr>
        <w:t xml:space="preserve">) will often give more relevant results, because it only searches the issue titles, not all comments. </w:t>
      </w:r>
      <w:r w:rsidR="004260A3">
        <w:rPr>
          <w:rFonts w:cstheme="minorHAnsi"/>
        </w:rPr>
        <w:t>Topics can also be searched depending on whether they are open or close, labels, milestones, etc.</w:t>
      </w:r>
    </w:p>
    <w:p w14:paraId="61121107" w14:textId="25A47BC9" w:rsidR="00AB52CD" w:rsidRDefault="00AB52CD" w:rsidP="00AB52CD">
      <w:pPr>
        <w:pStyle w:val="NoSpacing"/>
      </w:pPr>
    </w:p>
    <w:p w14:paraId="322D9042" w14:textId="080C7CDB" w:rsidR="00AB52CD" w:rsidRPr="00896C44" w:rsidRDefault="00AB52CD" w:rsidP="00AB52CD">
      <w:pPr>
        <w:pStyle w:val="Text2"/>
        <w:spacing w:after="0"/>
        <w:ind w:left="0"/>
        <w:rPr>
          <w:rFonts w:asciiTheme="minorHAnsi" w:hAnsiTheme="minorHAnsi" w:cstheme="minorHAnsi"/>
          <w:sz w:val="22"/>
          <w:szCs w:val="22"/>
        </w:rPr>
      </w:pPr>
      <w:r>
        <w:rPr>
          <w:rFonts w:asciiTheme="minorHAnsi" w:hAnsiTheme="minorHAnsi" w:cstheme="minorHAnsi"/>
          <w:sz w:val="22"/>
          <w:szCs w:val="22"/>
        </w:rPr>
        <w:t>To submit comments on GitHub:</w:t>
      </w:r>
    </w:p>
    <w:p w14:paraId="44019D9F" w14:textId="6D7399E6" w:rsidR="005608BD" w:rsidRPr="00AB52CD" w:rsidRDefault="005608BD" w:rsidP="00730301">
      <w:pPr>
        <w:pStyle w:val="ListParagraph"/>
        <w:numPr>
          <w:ilvl w:val="0"/>
          <w:numId w:val="50"/>
        </w:numPr>
        <w:spacing w:line="276" w:lineRule="auto"/>
        <w:ind w:left="360"/>
        <w:contextualSpacing w:val="0"/>
        <w:jc w:val="both"/>
        <w:rPr>
          <w:rFonts w:cstheme="minorHAnsi"/>
        </w:rPr>
      </w:pPr>
      <w:r w:rsidRPr="00896C44">
        <w:rPr>
          <w:rFonts w:cstheme="minorHAnsi"/>
        </w:rPr>
        <w:t xml:space="preserve">Go to </w:t>
      </w:r>
      <w:hyperlink r:id="rId26" w:history="1">
        <w:r w:rsidRPr="00896C44">
          <w:rPr>
            <w:rStyle w:val="Hyperlink"/>
            <w:rFonts w:cstheme="minorHAnsi"/>
          </w:rPr>
          <w:t>github.com/eForms/eForms</w:t>
        </w:r>
      </w:hyperlink>
      <w:r w:rsidRPr="00896C44">
        <w:rPr>
          <w:rFonts w:cstheme="minorHAnsi"/>
        </w:rPr>
        <w:t xml:space="preserve">, click "Sign up" and follow the instructions. </w:t>
      </w:r>
      <w:r w:rsidRPr="00AB52CD">
        <w:rPr>
          <w:rFonts w:cstheme="minorHAnsi"/>
        </w:rPr>
        <w:t>In the top right, you can choose your email notification settings.</w:t>
      </w:r>
    </w:p>
    <w:p w14:paraId="0D08BFAC" w14:textId="77777777" w:rsidR="005608BD" w:rsidRPr="00896C44" w:rsidRDefault="005608BD" w:rsidP="00730301">
      <w:pPr>
        <w:pStyle w:val="ListParagraph"/>
        <w:numPr>
          <w:ilvl w:val="0"/>
          <w:numId w:val="50"/>
        </w:numPr>
        <w:spacing w:line="276" w:lineRule="auto"/>
        <w:ind w:left="360"/>
        <w:contextualSpacing w:val="0"/>
        <w:jc w:val="both"/>
        <w:rPr>
          <w:rFonts w:cstheme="minorHAnsi"/>
        </w:rPr>
      </w:pPr>
      <w:r w:rsidRPr="00896C44">
        <w:rPr>
          <w:rFonts w:cstheme="minorHAnsi"/>
        </w:rPr>
        <w:t xml:space="preserve">If you would like to comment (e.g. to suggest a change), click "Issues". There, you can open new issues by clicking on "New issue". Also, you can comment on issues already opened by others by scrolling or searching. </w:t>
      </w:r>
    </w:p>
    <w:p w14:paraId="23ADEAF9" w14:textId="77777777" w:rsidR="005608BD" w:rsidRDefault="005608BD" w:rsidP="005608BD">
      <w:pPr>
        <w:spacing w:before="240"/>
        <w:ind w:left="851"/>
        <w:rPr>
          <w:szCs w:val="24"/>
        </w:rPr>
      </w:pPr>
      <w:r>
        <w:rPr>
          <w:noProof/>
          <w:lang w:val="fr-BE" w:eastAsia="fr-BE"/>
        </w:rPr>
        <w:lastRenderedPageBreak/>
        <w:drawing>
          <wp:inline distT="0" distB="0" distL="0" distR="0" wp14:anchorId="5593D74A" wp14:editId="14749DB0">
            <wp:extent cx="4579951" cy="42689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79951" cy="4268969"/>
                    </a:xfrm>
                    <a:prstGeom prst="rect">
                      <a:avLst/>
                    </a:prstGeom>
                  </pic:spPr>
                </pic:pic>
              </a:graphicData>
            </a:graphic>
          </wp:inline>
        </w:drawing>
      </w:r>
      <w:r>
        <w:rPr>
          <w:noProof/>
          <w:lang w:eastAsia="en-GB"/>
        </w:rPr>
        <w:t xml:space="preserve">  </w:t>
      </w:r>
      <w:r>
        <w:rPr>
          <w:szCs w:val="24"/>
        </w:rPr>
        <w:t xml:space="preserve"> </w:t>
      </w:r>
      <w:r>
        <w:rPr>
          <w:szCs w:val="24"/>
        </w:rPr>
        <w:br w:type="page"/>
      </w:r>
    </w:p>
    <w:p w14:paraId="621C22DA" w14:textId="77777777" w:rsidR="005608BD" w:rsidRDefault="005608BD" w:rsidP="005608BD">
      <w:r>
        <w:rPr>
          <w:noProof/>
          <w:lang w:val="fr-BE" w:eastAsia="fr-BE"/>
        </w:rPr>
        <w:lastRenderedPageBreak/>
        <mc:AlternateContent>
          <mc:Choice Requires="wps">
            <w:drawing>
              <wp:anchor distT="0" distB="0" distL="114300" distR="114300" simplePos="0" relativeHeight="251658240" behindDoc="0" locked="0" layoutInCell="1" allowOverlap="1" wp14:anchorId="40BC84B5" wp14:editId="58D23417">
                <wp:simplePos x="0" y="0"/>
                <wp:positionH relativeFrom="column">
                  <wp:align>center</wp:align>
                </wp:positionH>
                <wp:positionV relativeFrom="paragraph">
                  <wp:posOffset>-1298</wp:posOffset>
                </wp:positionV>
                <wp:extent cx="5677535" cy="2934032"/>
                <wp:effectExtent l="0" t="0" r="1841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2934032"/>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73D8111" w14:textId="77777777" w:rsidR="00756E42" w:rsidRDefault="00756E42" w:rsidP="005608BD">
                            <w:pPr>
                              <w:rPr>
                                <w:rStyle w:val="IntenseEmphasis"/>
                                <w:rFonts w:asciiTheme="majorHAnsi" w:eastAsiaTheme="majorEastAsia" w:hAnsiTheme="majorHAnsi" w:cstheme="majorBidi"/>
                                <w:spacing w:val="15"/>
                                <w:szCs w:val="24"/>
                              </w:rPr>
                            </w:pPr>
                            <w:r>
                              <w:rPr>
                                <w:rStyle w:val="IntenseEmphasis"/>
                                <w:rFonts w:asciiTheme="majorHAnsi" w:eastAsiaTheme="majorEastAsia" w:hAnsiTheme="majorHAnsi" w:cstheme="majorBidi"/>
                                <w:spacing w:val="15"/>
                                <w:szCs w:val="24"/>
                              </w:rPr>
                              <w:t>How to name your issue?</w:t>
                            </w:r>
                          </w:p>
                          <w:p w14:paraId="7D8D2650" w14:textId="77777777" w:rsidR="00756E42" w:rsidRPr="00896C44" w:rsidRDefault="00756E42" w:rsidP="005608BD">
                            <w:pPr>
                              <w:rPr>
                                <w:rFonts w:cstheme="minorHAnsi"/>
                                <w:sz w:val="20"/>
                                <w:szCs w:val="20"/>
                              </w:rPr>
                            </w:pPr>
                            <w:r w:rsidRPr="00896C44">
                              <w:rPr>
                                <w:rFonts w:cstheme="minorHAnsi"/>
                                <w:sz w:val="20"/>
                                <w:szCs w:val="20"/>
                              </w:rPr>
                              <w:t>To ensure readability, the title of each issue must clearly identify the topic of the issue. In particular, this means including in the title the following information.</w:t>
                            </w:r>
                          </w:p>
                          <w:p w14:paraId="2B03D3A9" w14:textId="77777777" w:rsidR="00756E42" w:rsidRPr="00896C44" w:rsidRDefault="00756E42" w:rsidP="00FD4D54">
                            <w:pPr>
                              <w:pStyle w:val="NoSpacing"/>
                            </w:pPr>
                          </w:p>
                          <w:p w14:paraId="4CDBB2F7" w14:textId="77777777" w:rsidR="00756E42" w:rsidRPr="00896C44" w:rsidRDefault="00756E42" w:rsidP="00730301">
                            <w:pPr>
                              <w:pStyle w:val="ListParagraph"/>
                              <w:numPr>
                                <w:ilvl w:val="0"/>
                                <w:numId w:val="51"/>
                              </w:numPr>
                              <w:spacing w:line="276" w:lineRule="auto"/>
                              <w:contextualSpacing w:val="0"/>
                              <w:rPr>
                                <w:rFonts w:cstheme="minorHAnsi"/>
                                <w:sz w:val="20"/>
                                <w:szCs w:val="20"/>
                              </w:rPr>
                            </w:pPr>
                            <w:r w:rsidRPr="00896C44">
                              <w:rPr>
                                <w:rFonts w:cstheme="minorHAnsi"/>
                                <w:sz w:val="20"/>
                                <w:szCs w:val="20"/>
                              </w:rPr>
                              <w:t xml:space="preserve">ID (the first column of the spreadsheet concerning the Annex or Rules) and Name (for the Annex or codelist) to be discussed, e.g. "BT-01 (Legal Basis);"  </w:t>
                            </w:r>
                          </w:p>
                          <w:p w14:paraId="236D8CE4" w14:textId="77777777" w:rsidR="00756E42" w:rsidRPr="00896C44" w:rsidRDefault="00756E42" w:rsidP="00730301">
                            <w:pPr>
                              <w:pStyle w:val="ListParagraph"/>
                              <w:numPr>
                                <w:ilvl w:val="0"/>
                                <w:numId w:val="51"/>
                              </w:numPr>
                              <w:spacing w:line="276" w:lineRule="auto"/>
                              <w:contextualSpacing w:val="0"/>
                              <w:rPr>
                                <w:rFonts w:cstheme="minorHAnsi"/>
                                <w:sz w:val="20"/>
                                <w:szCs w:val="20"/>
                              </w:rPr>
                            </w:pPr>
                            <w:r w:rsidRPr="00896C44">
                              <w:rPr>
                                <w:rFonts w:cstheme="minorHAnsi"/>
                                <w:sz w:val="20"/>
                                <w:szCs w:val="20"/>
                              </w:rPr>
                              <w:t>Name of the column to be discussed (e.g. "Description," or "PIN only D81;")</w:t>
                            </w:r>
                          </w:p>
                          <w:p w14:paraId="3CC2D487" w14:textId="77777777" w:rsidR="00756E42" w:rsidRPr="00896C44" w:rsidRDefault="00756E42" w:rsidP="00730301">
                            <w:pPr>
                              <w:pStyle w:val="ListParagraph"/>
                              <w:numPr>
                                <w:ilvl w:val="0"/>
                                <w:numId w:val="51"/>
                              </w:numPr>
                              <w:spacing w:line="276" w:lineRule="auto"/>
                              <w:contextualSpacing w:val="0"/>
                              <w:rPr>
                                <w:rFonts w:cstheme="minorHAnsi"/>
                                <w:sz w:val="20"/>
                                <w:szCs w:val="20"/>
                              </w:rPr>
                            </w:pPr>
                            <w:r w:rsidRPr="00896C44">
                              <w:rPr>
                                <w:rFonts w:cstheme="minorHAnsi"/>
                                <w:sz w:val="20"/>
                                <w:szCs w:val="20"/>
                              </w:rPr>
                              <w:t>Short summary of the issue (e.g. "Typo", "Inconsistent with other BTs", "rename")</w:t>
                            </w:r>
                          </w:p>
                          <w:p w14:paraId="196026BF" w14:textId="77777777" w:rsidR="00756E42" w:rsidRPr="00896C44" w:rsidRDefault="00756E42" w:rsidP="00730301">
                            <w:pPr>
                              <w:pStyle w:val="ListParagraph"/>
                              <w:numPr>
                                <w:ilvl w:val="0"/>
                                <w:numId w:val="51"/>
                              </w:numPr>
                              <w:spacing w:line="276" w:lineRule="auto"/>
                              <w:contextualSpacing w:val="0"/>
                              <w:rPr>
                                <w:rFonts w:cstheme="minorHAnsi"/>
                                <w:sz w:val="20"/>
                                <w:szCs w:val="20"/>
                              </w:rPr>
                            </w:pPr>
                            <w:r w:rsidRPr="00896C44">
                              <w:rPr>
                                <w:rFonts w:cstheme="minorHAnsi"/>
                                <w:sz w:val="20"/>
                                <w:szCs w:val="20"/>
                              </w:rPr>
                              <w:t xml:space="preserve">Document being commented (if other than the Annex): </w:t>
                            </w:r>
                          </w:p>
                          <w:p w14:paraId="18BB2FDA" w14:textId="77777777" w:rsidR="00756E42" w:rsidRPr="00896C44" w:rsidRDefault="00756E42" w:rsidP="00730301">
                            <w:pPr>
                              <w:pStyle w:val="ListParagraph"/>
                              <w:numPr>
                                <w:ilvl w:val="0"/>
                                <w:numId w:val="52"/>
                              </w:numPr>
                              <w:spacing w:line="276" w:lineRule="auto"/>
                              <w:ind w:left="1418"/>
                              <w:contextualSpacing w:val="0"/>
                              <w:rPr>
                                <w:rFonts w:cstheme="minorHAnsi"/>
                                <w:sz w:val="20"/>
                                <w:szCs w:val="20"/>
                              </w:rPr>
                            </w:pPr>
                            <w:r w:rsidRPr="00896C44">
                              <w:rPr>
                                <w:rFonts w:cstheme="minorHAnsi"/>
                                <w:sz w:val="20"/>
                                <w:szCs w:val="20"/>
                              </w:rPr>
                              <w:t>[ACT]</w:t>
                            </w:r>
                          </w:p>
                          <w:p w14:paraId="60277617" w14:textId="77777777" w:rsidR="00756E42" w:rsidRPr="00896C44" w:rsidRDefault="00756E42" w:rsidP="00730301">
                            <w:pPr>
                              <w:pStyle w:val="ListParagraph"/>
                              <w:numPr>
                                <w:ilvl w:val="0"/>
                                <w:numId w:val="52"/>
                              </w:numPr>
                              <w:spacing w:line="276" w:lineRule="auto"/>
                              <w:ind w:left="1418"/>
                              <w:contextualSpacing w:val="0"/>
                              <w:rPr>
                                <w:rFonts w:cstheme="minorHAnsi"/>
                                <w:sz w:val="20"/>
                                <w:szCs w:val="20"/>
                              </w:rPr>
                            </w:pPr>
                            <w:r w:rsidRPr="00896C44">
                              <w:rPr>
                                <w:rFonts w:cstheme="minorHAnsi"/>
                                <w:sz w:val="20"/>
                                <w:szCs w:val="20"/>
                              </w:rPr>
                              <w:t>[CODELIST]</w:t>
                            </w:r>
                          </w:p>
                          <w:p w14:paraId="64EA3D86" w14:textId="77777777" w:rsidR="00756E42" w:rsidRPr="00896C44" w:rsidRDefault="00756E42" w:rsidP="00730301">
                            <w:pPr>
                              <w:pStyle w:val="ListParagraph"/>
                              <w:numPr>
                                <w:ilvl w:val="0"/>
                                <w:numId w:val="52"/>
                              </w:numPr>
                              <w:spacing w:line="276" w:lineRule="auto"/>
                              <w:ind w:left="1418"/>
                              <w:contextualSpacing w:val="0"/>
                              <w:rPr>
                                <w:rFonts w:cstheme="minorHAnsi"/>
                                <w:sz w:val="20"/>
                                <w:szCs w:val="20"/>
                              </w:rPr>
                            </w:pPr>
                            <w:r w:rsidRPr="00896C44">
                              <w:rPr>
                                <w:rFonts w:cstheme="minorHAnsi"/>
                                <w:sz w:val="20"/>
                                <w:szCs w:val="20"/>
                              </w:rPr>
                              <w:t>[RULE]</w:t>
                            </w:r>
                          </w:p>
                          <w:p w14:paraId="09473079" w14:textId="77777777" w:rsidR="00756E42" w:rsidRPr="00896C44" w:rsidRDefault="00756E42" w:rsidP="005608BD">
                            <w:pPr>
                              <w:rPr>
                                <w:rFonts w:cstheme="minorHAnsi"/>
                                <w:sz w:val="20"/>
                                <w:szCs w:val="20"/>
                              </w:rPr>
                            </w:pPr>
                          </w:p>
                          <w:p w14:paraId="0B1B4FED" w14:textId="77777777" w:rsidR="00756E42" w:rsidRPr="00896C44" w:rsidRDefault="00756E42" w:rsidP="005608BD">
                            <w:pPr>
                              <w:rPr>
                                <w:rFonts w:cstheme="minorHAnsi"/>
                                <w:sz w:val="20"/>
                                <w:szCs w:val="20"/>
                              </w:rPr>
                            </w:pPr>
                            <w:r w:rsidRPr="00896C44">
                              <w:rPr>
                                <w:rFonts w:cstheme="minorHAnsi"/>
                                <w:sz w:val="20"/>
                                <w:szCs w:val="20"/>
                              </w:rPr>
                              <w:t xml:space="preserve">For example, a title could be "BT-01 (Legal Basis); Description; Typo" or “Activity Authority; defence listed twice; [CODELIST]” or “BR-33; Description; wrong business term identifier; [RULE].” </w:t>
                            </w:r>
                          </w:p>
                          <w:p w14:paraId="31D5F2E4" w14:textId="3E249E66" w:rsidR="00756E42" w:rsidRPr="00896C44" w:rsidRDefault="00756E42" w:rsidP="005608BD">
                            <w:pPr>
                              <w:rPr>
                                <w:rFonts w:cstheme="minorHAnsi"/>
                                <w:sz w:val="20"/>
                                <w:szCs w:val="20"/>
                              </w:rPr>
                            </w:pPr>
                            <w:r w:rsidRPr="00896C44">
                              <w:rPr>
                                <w:rFonts w:cstheme="minorHAnsi"/>
                                <w:sz w:val="20"/>
                                <w:szCs w:val="20"/>
                              </w:rPr>
                              <w:t>If your issue does not fit the instructions above (e.g. because it is more general), just follow them as far as possible</w:t>
                            </w:r>
                            <w:r>
                              <w:rPr>
                                <w:rFonts w:cs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C84B5" id="_x0000_t202" coordsize="21600,21600" o:spt="202" path="m,l,21600r21600,l21600,xe">
                <v:stroke joinstyle="miter"/>
                <v:path gradientshapeok="t" o:connecttype="rect"/>
              </v:shapetype>
              <v:shape id="Text Box 2" o:spid="_x0000_s1026" type="#_x0000_t202" style="position:absolute;margin-left:0;margin-top:-.1pt;width:447.05pt;height:231.0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" fillcolor="#f2f2f2 [3052]" strokecolor="#4f81bd [3204]" strokeweight="2pt">
                <v:textbox>
                  <w:txbxContent>
                    <w:p w14:paraId="273D8111" w14:textId="77777777" w:rsidR="00756E42" w:rsidRDefault="00756E42" w:rsidP="005608BD">
                      <w:pPr>
                        <w:rPr>
                          <w:rStyle w:val="IntenseEmphasis"/>
                          <w:rFonts w:asciiTheme="majorHAnsi" w:eastAsiaTheme="majorEastAsia" w:hAnsiTheme="majorHAnsi" w:cstheme="majorBidi"/>
                          <w:spacing w:val="15"/>
                          <w:szCs w:val="24"/>
                        </w:rPr>
                      </w:pPr>
                      <w:r>
                        <w:rPr>
                          <w:rStyle w:val="IntenseEmphasis"/>
                          <w:rFonts w:asciiTheme="majorHAnsi" w:eastAsiaTheme="majorEastAsia" w:hAnsiTheme="majorHAnsi" w:cstheme="majorBidi"/>
                          <w:spacing w:val="15"/>
                          <w:szCs w:val="24"/>
                        </w:rPr>
                        <w:t>How to name your issue?</w:t>
                      </w:r>
                    </w:p>
                    <w:p w14:paraId="7D8D2650" w14:textId="77777777" w:rsidR="00756E42" w:rsidRPr="00896C44" w:rsidRDefault="00756E42" w:rsidP="005608BD">
                      <w:pPr>
                        <w:rPr>
                          <w:rFonts w:cstheme="minorHAnsi"/>
                          <w:sz w:val="20"/>
                          <w:szCs w:val="20"/>
                        </w:rPr>
                      </w:pPr>
                      <w:r w:rsidRPr="00896C44">
                        <w:rPr>
                          <w:rFonts w:cstheme="minorHAnsi"/>
                          <w:sz w:val="20"/>
                          <w:szCs w:val="20"/>
                        </w:rPr>
                        <w:t>To ensure readability, the title of each issue must clearly identify the topic of the issue. In particular, this means including in the title the following information.</w:t>
                      </w:r>
                    </w:p>
                    <w:p w14:paraId="2B03D3A9" w14:textId="77777777" w:rsidR="00756E42" w:rsidRPr="00896C44" w:rsidRDefault="00756E42" w:rsidP="00FD4D54">
                      <w:pPr>
                        <w:pStyle w:val="NoSpacing"/>
                      </w:pPr>
                    </w:p>
                    <w:p w14:paraId="4CDBB2F7" w14:textId="77777777" w:rsidR="00756E42" w:rsidRPr="00896C44" w:rsidRDefault="00756E42" w:rsidP="00730301">
                      <w:pPr>
                        <w:pStyle w:val="ListParagraph"/>
                        <w:numPr>
                          <w:ilvl w:val="0"/>
                          <w:numId w:val="51"/>
                        </w:numPr>
                        <w:spacing w:line="276" w:lineRule="auto"/>
                        <w:contextualSpacing w:val="0"/>
                        <w:rPr>
                          <w:rFonts w:cstheme="minorHAnsi"/>
                          <w:sz w:val="20"/>
                          <w:szCs w:val="20"/>
                        </w:rPr>
                      </w:pPr>
                      <w:r w:rsidRPr="00896C44">
                        <w:rPr>
                          <w:rFonts w:cstheme="minorHAnsi"/>
                          <w:sz w:val="20"/>
                          <w:szCs w:val="20"/>
                        </w:rPr>
                        <w:t xml:space="preserve">ID (the first column of the spreadsheet concerning the Annex or Rules) and Name (for the Annex or codelist) to be discussed, e.g. "BT-01 (Legal Basis);"  </w:t>
                      </w:r>
                    </w:p>
                    <w:p w14:paraId="236D8CE4" w14:textId="77777777" w:rsidR="00756E42" w:rsidRPr="00896C44" w:rsidRDefault="00756E42" w:rsidP="00730301">
                      <w:pPr>
                        <w:pStyle w:val="ListParagraph"/>
                        <w:numPr>
                          <w:ilvl w:val="0"/>
                          <w:numId w:val="51"/>
                        </w:numPr>
                        <w:spacing w:line="276" w:lineRule="auto"/>
                        <w:contextualSpacing w:val="0"/>
                        <w:rPr>
                          <w:rFonts w:cstheme="minorHAnsi"/>
                          <w:sz w:val="20"/>
                          <w:szCs w:val="20"/>
                        </w:rPr>
                      </w:pPr>
                      <w:r w:rsidRPr="00896C44">
                        <w:rPr>
                          <w:rFonts w:cstheme="minorHAnsi"/>
                          <w:sz w:val="20"/>
                          <w:szCs w:val="20"/>
                        </w:rPr>
                        <w:t>Name of the column to be discussed (e.g. "Description," or "PIN only D81;")</w:t>
                      </w:r>
                    </w:p>
                    <w:p w14:paraId="3CC2D487" w14:textId="77777777" w:rsidR="00756E42" w:rsidRPr="00896C44" w:rsidRDefault="00756E42" w:rsidP="00730301">
                      <w:pPr>
                        <w:pStyle w:val="ListParagraph"/>
                        <w:numPr>
                          <w:ilvl w:val="0"/>
                          <w:numId w:val="51"/>
                        </w:numPr>
                        <w:spacing w:line="276" w:lineRule="auto"/>
                        <w:contextualSpacing w:val="0"/>
                        <w:rPr>
                          <w:rFonts w:cstheme="minorHAnsi"/>
                          <w:sz w:val="20"/>
                          <w:szCs w:val="20"/>
                        </w:rPr>
                      </w:pPr>
                      <w:r w:rsidRPr="00896C44">
                        <w:rPr>
                          <w:rFonts w:cstheme="minorHAnsi"/>
                          <w:sz w:val="20"/>
                          <w:szCs w:val="20"/>
                        </w:rPr>
                        <w:t>Short summary of the issue (e.g. "Typo", "Inconsistent with other BTs", "rename")</w:t>
                      </w:r>
                    </w:p>
                    <w:p w14:paraId="196026BF" w14:textId="77777777" w:rsidR="00756E42" w:rsidRPr="00896C44" w:rsidRDefault="00756E42" w:rsidP="00730301">
                      <w:pPr>
                        <w:pStyle w:val="ListParagraph"/>
                        <w:numPr>
                          <w:ilvl w:val="0"/>
                          <w:numId w:val="51"/>
                        </w:numPr>
                        <w:spacing w:line="276" w:lineRule="auto"/>
                        <w:contextualSpacing w:val="0"/>
                        <w:rPr>
                          <w:rFonts w:cstheme="minorHAnsi"/>
                          <w:sz w:val="20"/>
                          <w:szCs w:val="20"/>
                        </w:rPr>
                      </w:pPr>
                      <w:r w:rsidRPr="00896C44">
                        <w:rPr>
                          <w:rFonts w:cstheme="minorHAnsi"/>
                          <w:sz w:val="20"/>
                          <w:szCs w:val="20"/>
                        </w:rPr>
                        <w:t xml:space="preserve">Document being commented (if other than the Annex): </w:t>
                      </w:r>
                    </w:p>
                    <w:p w14:paraId="18BB2FDA" w14:textId="77777777" w:rsidR="00756E42" w:rsidRPr="00896C44" w:rsidRDefault="00756E42" w:rsidP="00730301">
                      <w:pPr>
                        <w:pStyle w:val="ListParagraph"/>
                        <w:numPr>
                          <w:ilvl w:val="0"/>
                          <w:numId w:val="52"/>
                        </w:numPr>
                        <w:spacing w:line="276" w:lineRule="auto"/>
                        <w:ind w:left="1418"/>
                        <w:contextualSpacing w:val="0"/>
                        <w:rPr>
                          <w:rFonts w:cstheme="minorHAnsi"/>
                          <w:sz w:val="20"/>
                          <w:szCs w:val="20"/>
                        </w:rPr>
                      </w:pPr>
                      <w:r w:rsidRPr="00896C44">
                        <w:rPr>
                          <w:rFonts w:cstheme="minorHAnsi"/>
                          <w:sz w:val="20"/>
                          <w:szCs w:val="20"/>
                        </w:rPr>
                        <w:t>[ACT]</w:t>
                      </w:r>
                    </w:p>
                    <w:p w14:paraId="60277617" w14:textId="77777777" w:rsidR="00756E42" w:rsidRPr="00896C44" w:rsidRDefault="00756E42" w:rsidP="00730301">
                      <w:pPr>
                        <w:pStyle w:val="ListParagraph"/>
                        <w:numPr>
                          <w:ilvl w:val="0"/>
                          <w:numId w:val="52"/>
                        </w:numPr>
                        <w:spacing w:line="276" w:lineRule="auto"/>
                        <w:ind w:left="1418"/>
                        <w:contextualSpacing w:val="0"/>
                        <w:rPr>
                          <w:rFonts w:cstheme="minorHAnsi"/>
                          <w:sz w:val="20"/>
                          <w:szCs w:val="20"/>
                        </w:rPr>
                      </w:pPr>
                      <w:r w:rsidRPr="00896C44">
                        <w:rPr>
                          <w:rFonts w:cstheme="minorHAnsi"/>
                          <w:sz w:val="20"/>
                          <w:szCs w:val="20"/>
                        </w:rPr>
                        <w:t>[CODELIST]</w:t>
                      </w:r>
                    </w:p>
                    <w:p w14:paraId="64EA3D86" w14:textId="77777777" w:rsidR="00756E42" w:rsidRPr="00896C44" w:rsidRDefault="00756E42" w:rsidP="00730301">
                      <w:pPr>
                        <w:pStyle w:val="ListParagraph"/>
                        <w:numPr>
                          <w:ilvl w:val="0"/>
                          <w:numId w:val="52"/>
                        </w:numPr>
                        <w:spacing w:line="276" w:lineRule="auto"/>
                        <w:ind w:left="1418"/>
                        <w:contextualSpacing w:val="0"/>
                        <w:rPr>
                          <w:rFonts w:cstheme="minorHAnsi"/>
                          <w:sz w:val="20"/>
                          <w:szCs w:val="20"/>
                        </w:rPr>
                      </w:pPr>
                      <w:r w:rsidRPr="00896C44">
                        <w:rPr>
                          <w:rFonts w:cstheme="minorHAnsi"/>
                          <w:sz w:val="20"/>
                          <w:szCs w:val="20"/>
                        </w:rPr>
                        <w:t>[RULE]</w:t>
                      </w:r>
                    </w:p>
                    <w:p w14:paraId="09473079" w14:textId="77777777" w:rsidR="00756E42" w:rsidRPr="00896C44" w:rsidRDefault="00756E42" w:rsidP="005608BD">
                      <w:pPr>
                        <w:rPr>
                          <w:rFonts w:cstheme="minorHAnsi"/>
                          <w:sz w:val="20"/>
                          <w:szCs w:val="20"/>
                        </w:rPr>
                      </w:pPr>
                    </w:p>
                    <w:p w14:paraId="0B1B4FED" w14:textId="77777777" w:rsidR="00756E42" w:rsidRPr="00896C44" w:rsidRDefault="00756E42" w:rsidP="005608BD">
                      <w:pPr>
                        <w:rPr>
                          <w:rFonts w:cstheme="minorHAnsi"/>
                          <w:sz w:val="20"/>
                          <w:szCs w:val="20"/>
                        </w:rPr>
                      </w:pPr>
                      <w:r w:rsidRPr="00896C44">
                        <w:rPr>
                          <w:rFonts w:cstheme="minorHAnsi"/>
                          <w:sz w:val="20"/>
                          <w:szCs w:val="20"/>
                        </w:rPr>
                        <w:t xml:space="preserve">For example, a title could be "BT-01 (Legal Basis); Description; Typo" or “Activity Authority; defence listed twice; [CODELIST]” or “BR-33; Description; wrong business term identifier; [RULE].” </w:t>
                      </w:r>
                    </w:p>
                    <w:p w14:paraId="31D5F2E4" w14:textId="3E249E66" w:rsidR="00756E42" w:rsidRPr="00896C44" w:rsidRDefault="00756E42" w:rsidP="005608BD">
                      <w:pPr>
                        <w:rPr>
                          <w:rFonts w:cstheme="minorHAnsi"/>
                          <w:sz w:val="20"/>
                          <w:szCs w:val="20"/>
                        </w:rPr>
                      </w:pPr>
                      <w:r w:rsidRPr="00896C44">
                        <w:rPr>
                          <w:rFonts w:cstheme="minorHAnsi"/>
                          <w:sz w:val="20"/>
                          <w:szCs w:val="20"/>
                        </w:rPr>
                        <w:t>If your issue does not fit the instructions above (e.g. because it is more general), just follow them as far as possible</w:t>
                      </w:r>
                      <w:r>
                        <w:rPr>
                          <w:rFonts w:cstheme="minorHAnsi"/>
                          <w:sz w:val="20"/>
                          <w:szCs w:val="20"/>
                        </w:rPr>
                        <w:t>.</w:t>
                      </w:r>
                    </w:p>
                  </w:txbxContent>
                </v:textbox>
              </v:shape>
            </w:pict>
          </mc:Fallback>
        </mc:AlternateContent>
      </w:r>
    </w:p>
    <w:p w14:paraId="6C720193" w14:textId="77777777" w:rsidR="005608BD" w:rsidRPr="002B0007" w:rsidRDefault="005608BD" w:rsidP="005608BD"/>
    <w:p w14:paraId="6CB35252" w14:textId="77777777" w:rsidR="005608BD" w:rsidRPr="00841350" w:rsidRDefault="005608BD" w:rsidP="00FD4D54">
      <w:pPr>
        <w:pStyle w:val="NoSpacing"/>
        <w:rPr>
          <w:rStyle w:val="IntenseEmphasis"/>
          <w:lang w:val="en-US"/>
        </w:rPr>
      </w:pPr>
    </w:p>
    <w:p w14:paraId="3669FF9D" w14:textId="77777777" w:rsidR="005608BD" w:rsidRDefault="005608BD" w:rsidP="00FD4D54">
      <w:pPr>
        <w:pStyle w:val="NoSpacing"/>
      </w:pPr>
    </w:p>
    <w:p w14:paraId="1B7FEC33" w14:textId="77777777" w:rsidR="005608BD" w:rsidRDefault="005608BD" w:rsidP="005608BD"/>
    <w:p w14:paraId="159522EB" w14:textId="77777777" w:rsidR="005608BD" w:rsidRDefault="005608BD" w:rsidP="005608BD"/>
    <w:p w14:paraId="1569424D" w14:textId="77777777" w:rsidR="005608BD" w:rsidRDefault="005608BD" w:rsidP="005608BD"/>
    <w:p w14:paraId="02214EE8" w14:textId="77777777" w:rsidR="005608BD" w:rsidRDefault="005608BD" w:rsidP="005608BD">
      <w:pPr>
        <w:ind w:left="720"/>
        <w:rPr>
          <w:b/>
        </w:rPr>
      </w:pPr>
    </w:p>
    <w:p w14:paraId="52DCBFF8" w14:textId="77777777" w:rsidR="005608BD" w:rsidRDefault="005608BD" w:rsidP="005608BD">
      <w:pPr>
        <w:ind w:left="720"/>
        <w:rPr>
          <w:b/>
        </w:rPr>
      </w:pPr>
    </w:p>
    <w:p w14:paraId="79BD74F2" w14:textId="77777777" w:rsidR="005608BD" w:rsidRDefault="005608BD" w:rsidP="005608BD">
      <w:pPr>
        <w:ind w:left="720"/>
        <w:rPr>
          <w:b/>
        </w:rPr>
      </w:pPr>
    </w:p>
    <w:p w14:paraId="743C4F50" w14:textId="77777777" w:rsidR="005608BD" w:rsidRDefault="005608BD" w:rsidP="005608BD">
      <w:pPr>
        <w:ind w:left="720"/>
        <w:rPr>
          <w:b/>
        </w:rPr>
      </w:pPr>
    </w:p>
    <w:p w14:paraId="48BBA360" w14:textId="77777777" w:rsidR="005608BD" w:rsidRDefault="005608BD" w:rsidP="005608BD">
      <w:pPr>
        <w:ind w:left="720"/>
        <w:rPr>
          <w:b/>
          <w:szCs w:val="24"/>
        </w:rPr>
      </w:pPr>
    </w:p>
    <w:p w14:paraId="617788B1" w14:textId="77777777" w:rsidR="005608BD" w:rsidRDefault="005608BD" w:rsidP="005608BD">
      <w:pPr>
        <w:ind w:left="720"/>
        <w:rPr>
          <w:b/>
          <w:szCs w:val="24"/>
        </w:rPr>
      </w:pPr>
    </w:p>
    <w:p w14:paraId="41C3E0F1" w14:textId="77777777" w:rsidR="005608BD" w:rsidRDefault="005608BD" w:rsidP="005608BD">
      <w:pPr>
        <w:rPr>
          <w:b/>
          <w:szCs w:val="24"/>
        </w:rPr>
      </w:pPr>
    </w:p>
    <w:p w14:paraId="129953F2" w14:textId="77777777" w:rsidR="005608BD" w:rsidRDefault="005608BD" w:rsidP="005608BD">
      <w:pPr>
        <w:rPr>
          <w:b/>
          <w:szCs w:val="24"/>
        </w:rPr>
      </w:pPr>
    </w:p>
    <w:p w14:paraId="1F362EF4" w14:textId="77777777" w:rsidR="005608BD" w:rsidRDefault="005608BD" w:rsidP="005608BD">
      <w:pPr>
        <w:rPr>
          <w:b/>
          <w:szCs w:val="24"/>
        </w:rPr>
      </w:pPr>
    </w:p>
    <w:p w14:paraId="7CB3F76A" w14:textId="77777777" w:rsidR="005608BD" w:rsidRDefault="005608BD" w:rsidP="005608BD">
      <w:pPr>
        <w:rPr>
          <w:b/>
          <w:szCs w:val="24"/>
        </w:rPr>
      </w:pPr>
    </w:p>
    <w:p w14:paraId="1F27A73A" w14:textId="77777777" w:rsidR="005608BD" w:rsidRDefault="005608BD" w:rsidP="005608BD">
      <w:pPr>
        <w:rPr>
          <w:b/>
          <w:szCs w:val="24"/>
        </w:rPr>
      </w:pPr>
    </w:p>
    <w:p w14:paraId="5917E115" w14:textId="77777777" w:rsidR="005608BD" w:rsidRDefault="005608BD" w:rsidP="005608BD">
      <w:pPr>
        <w:rPr>
          <w:i/>
          <w:szCs w:val="24"/>
        </w:rPr>
      </w:pPr>
    </w:p>
    <w:p w14:paraId="0422B594" w14:textId="77777777" w:rsidR="005608BD" w:rsidRPr="001029FF" w:rsidRDefault="005608BD" w:rsidP="00A34C2B">
      <w:pPr>
        <w:rPr>
          <w:szCs w:val="24"/>
        </w:rPr>
      </w:pPr>
      <w:r>
        <w:rPr>
          <w:noProof/>
          <w:lang w:val="fr-BE" w:eastAsia="fr-BE"/>
        </w:rPr>
        <w:drawing>
          <wp:inline distT="0" distB="0" distL="0" distR="0" wp14:anchorId="63508652" wp14:editId="29ACECDD">
            <wp:extent cx="6056374" cy="470717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2.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86257" cy="4730398"/>
                    </a:xfrm>
                    <a:prstGeom prst="rect">
                      <a:avLst/>
                    </a:prstGeom>
                  </pic:spPr>
                </pic:pic>
              </a:graphicData>
            </a:graphic>
          </wp:inline>
        </w:drawing>
      </w:r>
      <w:r>
        <w:rPr>
          <w:noProof/>
          <w:lang w:eastAsia="en-GB"/>
        </w:rPr>
        <w:t xml:space="preserve"> </w:t>
      </w:r>
    </w:p>
    <w:p w14:paraId="429CA52A" w14:textId="47DC168F" w:rsidR="00A34C2B" w:rsidRDefault="00A34C2B">
      <w:pPr>
        <w:spacing w:after="200" w:line="276" w:lineRule="auto"/>
      </w:pPr>
      <w:r>
        <w:br w:type="page"/>
      </w:r>
    </w:p>
    <w:p w14:paraId="77C7CF62" w14:textId="13CC2605" w:rsidR="00413521" w:rsidRPr="0059550D" w:rsidRDefault="00413521" w:rsidP="00817BB4">
      <w:pPr>
        <w:rPr>
          <w:lang w:val="en-IE"/>
        </w:rPr>
      </w:pPr>
    </w:p>
    <w:sectPr w:rsidR="00413521" w:rsidRPr="0059550D" w:rsidSect="00C0628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C4003E" w16cid:durableId="21745218"/>
  <w16cid:commentId w16cid:paraId="3756B8D6" w16cid:durableId="21745219"/>
  <w16cid:commentId w16cid:paraId="1D8A2DBA" w16cid:durableId="2174521A"/>
  <w16cid:commentId w16cid:paraId="264A4F4F" w16cid:durableId="2174521B"/>
  <w16cid:commentId w16cid:paraId="5AB03D3C" w16cid:durableId="2174521C"/>
  <w16cid:commentId w16cid:paraId="3B1FD18A" w16cid:durableId="2174521D"/>
  <w16cid:commentId w16cid:paraId="25A2E025" w16cid:durableId="21745273"/>
  <w16cid:commentId w16cid:paraId="7879DE2E" w16cid:durableId="2174521E"/>
  <w16cid:commentId w16cid:paraId="00DF6E4B" w16cid:durableId="2174521F"/>
  <w16cid:commentId w16cid:paraId="5A5F47C8" w16cid:durableId="21745220"/>
  <w16cid:commentId w16cid:paraId="7BC0C50B" w16cid:durableId="21745221"/>
  <w16cid:commentId w16cid:paraId="67470638" w16cid:durableId="21745222"/>
  <w16cid:commentId w16cid:paraId="11672B81" w16cid:durableId="21745223"/>
  <w16cid:commentId w16cid:paraId="205AB817" w16cid:durableId="217453D3"/>
  <w16cid:commentId w16cid:paraId="09230618" w16cid:durableId="21745224"/>
  <w16cid:commentId w16cid:paraId="3A6BE7FB" w16cid:durableId="21745225"/>
  <w16cid:commentId w16cid:paraId="537C1D10" w16cid:durableId="21745226"/>
  <w16cid:commentId w16cid:paraId="35343065" w16cid:durableId="21745227"/>
  <w16cid:commentId w16cid:paraId="4B4A20DC" w16cid:durableId="21745228"/>
  <w16cid:commentId w16cid:paraId="3423C07E" w16cid:durableId="21745229"/>
  <w16cid:commentId w16cid:paraId="3FAC013F" w16cid:durableId="21745579"/>
  <w16cid:commentId w16cid:paraId="565FA4D3" w16cid:durableId="21745587"/>
  <w16cid:commentId w16cid:paraId="19EDA443" w16cid:durableId="21745590"/>
  <w16cid:commentId w16cid:paraId="413605E1" w16cid:durableId="2174522A"/>
  <w16cid:commentId w16cid:paraId="46FDE3BD" w16cid:durableId="2174522B"/>
  <w16cid:commentId w16cid:paraId="5859B0AC" w16cid:durableId="2174522C"/>
  <w16cid:commentId w16cid:paraId="3279FEAE" w16cid:durableId="2174522D"/>
  <w16cid:commentId w16cid:paraId="3DAA58EA" w16cid:durableId="2174522E"/>
  <w16cid:commentId w16cid:paraId="33486178" w16cid:durableId="21745813"/>
  <w16cid:commentId w16cid:paraId="51D83792" w16cid:durableId="2174522F"/>
  <w16cid:commentId w16cid:paraId="6784328B" w16cid:durableId="21745230"/>
  <w16cid:commentId w16cid:paraId="26CB484B" w16cid:durableId="2174586A"/>
  <w16cid:commentId w16cid:paraId="39024668" w16cid:durableId="21745BE8"/>
  <w16cid:commentId w16cid:paraId="5A7B92D4" w16cid:durableId="21745231"/>
  <w16cid:commentId w16cid:paraId="065DDF8D" w16cid:durableId="21745969"/>
  <w16cid:commentId w16cid:paraId="72448ABB" w16cid:durableId="21745232"/>
  <w16cid:commentId w16cid:paraId="4225D7A0" w16cid:durableId="217459E5"/>
  <w16cid:commentId w16cid:paraId="08F7D5BC" w16cid:durableId="21745233"/>
  <w16cid:commentId w16cid:paraId="229C09CE" w16cid:durableId="21745234"/>
  <w16cid:commentId w16cid:paraId="44B556CF" w16cid:durableId="21745AE5"/>
  <w16cid:commentId w16cid:paraId="1424FEDE" w16cid:durableId="21745DAB"/>
  <w16cid:commentId w16cid:paraId="1C96E130" w16cid:durableId="21745235"/>
  <w16cid:commentId w16cid:paraId="7C3E7964" w16cid:durableId="21745DEB"/>
  <w16cid:commentId w16cid:paraId="13DB4AE6" w16cid:durableId="21745E56"/>
  <w16cid:commentId w16cid:paraId="2FE2EC40" w16cid:durableId="21745E57"/>
  <w16cid:commentId w16cid:paraId="2D03B8AE" w16cid:durableId="21745236"/>
  <w16cid:commentId w16cid:paraId="64D47CE1" w16cid:durableId="21745237"/>
  <w16cid:commentId w16cid:paraId="32E5834A" w16cid:durableId="21745238"/>
  <w16cid:commentId w16cid:paraId="2F9D0B28" w16cid:durableId="21745239"/>
  <w16cid:commentId w16cid:paraId="65527E07" w16cid:durableId="21745F7A"/>
  <w16cid:commentId w16cid:paraId="3880BDE5" w16cid:durableId="2174523A"/>
  <w16cid:commentId w16cid:paraId="59EA328C" w16cid:durableId="2174523B"/>
  <w16cid:commentId w16cid:paraId="3833FE61" w16cid:durableId="2174523C"/>
  <w16cid:commentId w16cid:paraId="63E964A3" w16cid:durableId="2174523D"/>
  <w16cid:commentId w16cid:paraId="1D497657" w16cid:durableId="21746161"/>
  <w16cid:commentId w16cid:paraId="0A040926" w16cid:durableId="21746162"/>
  <w16cid:commentId w16cid:paraId="131DC148" w16cid:durableId="2174523E"/>
  <w16cid:commentId w16cid:paraId="5ABC39FC" w16cid:durableId="21746208"/>
  <w16cid:commentId w16cid:paraId="1CE31E72" w16cid:durableId="2174523F"/>
  <w16cid:commentId w16cid:paraId="0A1A62C8" w16cid:durableId="2174622D"/>
  <w16cid:commentId w16cid:paraId="2372130C" w16cid:durableId="21745240"/>
  <w16cid:commentId w16cid:paraId="446AA900" w16cid:durableId="21745241"/>
  <w16cid:commentId w16cid:paraId="61E313CA" w16cid:durableId="21745242"/>
  <w16cid:commentId w16cid:paraId="175A5F20" w16cid:durableId="217470FB"/>
  <w16cid:commentId w16cid:paraId="59206B8A" w16cid:durableId="21745243"/>
  <w16cid:commentId w16cid:paraId="7075CFAE" w16cid:durableId="217471A9"/>
  <w16cid:commentId w16cid:paraId="65A0E8BF" w16cid:durableId="217471F1"/>
  <w16cid:commentId w16cid:paraId="5062A78C" w16cid:durableId="21745244"/>
  <w16cid:commentId w16cid:paraId="62515232" w16cid:durableId="21745245"/>
  <w16cid:commentId w16cid:paraId="533D97CE" w16cid:durableId="21747398"/>
  <w16cid:commentId w16cid:paraId="73602ED4" w16cid:durableId="2174739A"/>
  <w16cid:commentId w16cid:paraId="45A13BDE" w16cid:durableId="2174751F"/>
  <w16cid:commentId w16cid:paraId="63E9179F" w16cid:durableId="21745246"/>
  <w16cid:commentId w16cid:paraId="3E300E70" w16cid:durableId="21747603"/>
  <w16cid:commentId w16cid:paraId="48C45260" w16cid:durableId="21747687"/>
  <w16cid:commentId w16cid:paraId="3F7905E0" w16cid:durableId="21745247"/>
  <w16cid:commentId w16cid:paraId="754A0CFC" w16cid:durableId="21745248"/>
  <w16cid:commentId w16cid:paraId="45042A47" w16cid:durableId="21747770"/>
  <w16cid:commentId w16cid:paraId="7F8F02E0" w16cid:durableId="21745249"/>
  <w16cid:commentId w16cid:paraId="24F686C9" w16cid:durableId="217478B4"/>
  <w16cid:commentId w16cid:paraId="7AEC37CB" w16cid:durableId="217478DE"/>
  <w16cid:commentId w16cid:paraId="15F674C3" w16cid:durableId="21747981"/>
  <w16cid:commentId w16cid:paraId="1F23D422" w16cid:durableId="217479AA"/>
  <w16cid:commentId w16cid:paraId="3B13813E" w16cid:durableId="21747ACE"/>
  <w16cid:commentId w16cid:paraId="2ADC7EE0" w16cid:durableId="2174524A"/>
  <w16cid:commentId w16cid:paraId="5E9DA5EE" w16cid:durableId="21747BB6"/>
  <w16cid:commentId w16cid:paraId="7A0138F3" w16cid:durableId="21747BB7"/>
  <w16cid:commentId w16cid:paraId="136303AC" w16cid:durableId="21747C2E"/>
  <w16cid:commentId w16cid:paraId="680C8D36" w16cid:durableId="2174524B"/>
  <w16cid:commentId w16cid:paraId="54DA81E6" w16cid:durableId="21747CFB"/>
  <w16cid:commentId w16cid:paraId="69627598" w16cid:durableId="21747D87"/>
  <w16cid:commentId w16cid:paraId="0EFF91A8" w16cid:durableId="2174524C"/>
  <w16cid:commentId w16cid:paraId="7A107788" w16cid:durableId="2174524D"/>
  <w16cid:commentId w16cid:paraId="6C4B23A0" w16cid:durableId="21747F6B"/>
  <w16cid:commentId w16cid:paraId="56F95DFA" w16cid:durableId="21747FD2"/>
  <w16cid:commentId w16cid:paraId="0507000D" w16cid:durableId="2174524E"/>
  <w16cid:commentId w16cid:paraId="6BB6EA89" w16cid:durableId="21748473"/>
  <w16cid:commentId w16cid:paraId="6FECC290" w16cid:durableId="217485F1"/>
  <w16cid:commentId w16cid:paraId="30C5D48C" w16cid:durableId="2174853C"/>
  <w16cid:commentId w16cid:paraId="26A0FBB9" w16cid:durableId="2174524F"/>
  <w16cid:commentId w16cid:paraId="36B5F987" w16cid:durableId="21745250"/>
  <w16cid:commentId w16cid:paraId="6CDF6C29" w16cid:durableId="21745251"/>
  <w16cid:commentId w16cid:paraId="729D6D1B" w16cid:durableId="21748721"/>
  <w16cid:commentId w16cid:paraId="6FC717A8" w16cid:durableId="21745252"/>
  <w16cid:commentId w16cid:paraId="7A3B9137" w16cid:durableId="2174894B"/>
  <w16cid:commentId w16cid:paraId="017E86DA" w16cid:durableId="21748A0A"/>
  <w16cid:commentId w16cid:paraId="58C04687" w16cid:durableId="21748AAF"/>
  <w16cid:commentId w16cid:paraId="205E7F2E" w16cid:durableId="21748B02"/>
  <w16cid:commentId w16cid:paraId="29CCA519" w16cid:durableId="21748B2D"/>
  <w16cid:commentId w16cid:paraId="6054345A" w16cid:durableId="21748B8E"/>
  <w16cid:commentId w16cid:paraId="5332E424" w16cid:durableId="21748C76"/>
  <w16cid:commentId w16cid:paraId="2243A572" w16cid:durableId="21748CFF"/>
  <w16cid:commentId w16cid:paraId="0E607CAD" w16cid:durableId="21748D61"/>
  <w16cid:commentId w16cid:paraId="61086EF1" w16cid:durableId="21748E00"/>
  <w16cid:commentId w16cid:paraId="26094B13" w16cid:durableId="21748E52"/>
  <w16cid:commentId w16cid:paraId="30CA7560" w16cid:durableId="21745253"/>
  <w16cid:commentId w16cid:paraId="7FBA2F50" w16cid:durableId="21745254"/>
  <w16cid:commentId w16cid:paraId="2E786C39" w16cid:durableId="21748F00"/>
  <w16cid:commentId w16cid:paraId="2551F495" w16cid:durableId="21748F3C"/>
  <w16cid:commentId w16cid:paraId="709EA3C6" w16cid:durableId="21748F74"/>
  <w16cid:commentId w16cid:paraId="2B7CD250" w16cid:durableId="21748FAF"/>
  <w16cid:commentId w16cid:paraId="49E950F6" w16cid:durableId="21748FE7"/>
  <w16cid:commentId w16cid:paraId="06D65674" w16cid:durableId="21745255"/>
  <w16cid:commentId w16cid:paraId="49CAEB66" w16cid:durableId="217490D2"/>
  <w16cid:commentId w16cid:paraId="24EA37DF" w16cid:durableId="21745256"/>
  <w16cid:commentId w16cid:paraId="4B9979D8" w16cid:durableId="21745257"/>
  <w16cid:commentId w16cid:paraId="1DC9666C" w16cid:durableId="21745258"/>
  <w16cid:commentId w16cid:paraId="119C368F" w16cid:durableId="21745259"/>
  <w16cid:commentId w16cid:paraId="61160862" w16cid:durableId="2174525A"/>
  <w16cid:commentId w16cid:paraId="5D5483F9" w16cid:durableId="2174525B"/>
  <w16cid:commentId w16cid:paraId="4E9E59A1" w16cid:durableId="217492D8"/>
  <w16cid:commentId w16cid:paraId="5F1248D2" w16cid:durableId="2174525C"/>
  <w16cid:commentId w16cid:paraId="47921102" w16cid:durableId="2174525D"/>
  <w16cid:commentId w16cid:paraId="0302F676" w16cid:durableId="2174525E"/>
  <w16cid:commentId w16cid:paraId="5C73356E" w16cid:durableId="2174525F"/>
  <w16cid:commentId w16cid:paraId="532C8D4D" w16cid:durableId="21745260"/>
  <w16cid:commentId w16cid:paraId="1C12662D" w16cid:durableId="21745261"/>
  <w16cid:commentId w16cid:paraId="31C721A7" w16cid:durableId="2174944C"/>
  <w16cid:commentId w16cid:paraId="4A9FC686" w16cid:durableId="2174944E"/>
  <w16cid:commentId w16cid:paraId="199649E1" w16cid:durableId="21745262"/>
  <w16cid:commentId w16cid:paraId="2976842F" w16cid:durableId="21745263"/>
  <w16cid:commentId w16cid:paraId="2F701300" w16cid:durableId="2174949B"/>
  <w16cid:commentId w16cid:paraId="6218D57C" w16cid:durableId="21745264"/>
  <w16cid:commentId w16cid:paraId="447677C7" w16cid:durableId="21745265"/>
  <w16cid:commentId w16cid:paraId="4B33C04E" w16cid:durableId="217494FC"/>
  <w16cid:commentId w16cid:paraId="37DD67E7" w16cid:durableId="21749526"/>
  <w16cid:commentId w16cid:paraId="4CF37EBC" w16cid:durableId="21745266"/>
  <w16cid:commentId w16cid:paraId="1C560031" w16cid:durableId="21745267"/>
  <w16cid:commentId w16cid:paraId="168FEA50" w16cid:durableId="21745268"/>
  <w16cid:commentId w16cid:paraId="57E50FCC" w16cid:durableId="217495BA"/>
  <w16cid:commentId w16cid:paraId="1418227B" w16cid:durableId="21745269"/>
  <w16cid:commentId w16cid:paraId="2EDDE4F0" w16cid:durableId="2174966A"/>
  <w16cid:commentId w16cid:paraId="2114AA9F" w16cid:durableId="2174526A"/>
  <w16cid:commentId w16cid:paraId="2C806468" w16cid:durableId="217496F1"/>
  <w16cid:commentId w16cid:paraId="16AC6007" w16cid:durableId="21749748"/>
  <w16cid:commentId w16cid:paraId="28877FB7" w16cid:durableId="2174974A"/>
  <w16cid:commentId w16cid:paraId="2AE0A3D4" w16cid:durableId="2174526B"/>
  <w16cid:commentId w16cid:paraId="06F264E3" w16cid:durableId="2174526C"/>
  <w16cid:commentId w16cid:paraId="22A94652" w16cid:durableId="217496D9"/>
  <w16cid:commentId w16cid:paraId="1C35EA14" w16cid:durableId="2174526D"/>
  <w16cid:commentId w16cid:paraId="2C798D31" w16cid:durableId="21749AD4"/>
  <w16cid:commentId w16cid:paraId="5FD57BFD" w16cid:durableId="21749B4D"/>
  <w16cid:commentId w16cid:paraId="6409CA05" w16cid:durableId="2174EC9B"/>
  <w16cid:commentId w16cid:paraId="3C6A5F13" w16cid:durableId="2174ECAC"/>
  <w16cid:commentId w16cid:paraId="7A64C9F2" w16cid:durableId="2174ED52"/>
  <w16cid:commentId w16cid:paraId="3F086B6B" w16cid:durableId="2174EE8B"/>
  <w16cid:commentId w16cid:paraId="1E8B7E95" w16cid:durableId="2174EEF3"/>
  <w16cid:commentId w16cid:paraId="3ED72059" w16cid:durableId="2174EF4E"/>
  <w16cid:commentId w16cid:paraId="4115FA7C" w16cid:durableId="2174526E"/>
  <w16cid:commentId w16cid:paraId="4BBEDBC3" w16cid:durableId="2174526F"/>
  <w16cid:commentId w16cid:paraId="2877F5F6" w16cid:durableId="21745270"/>
  <w16cid:commentId w16cid:paraId="38C69A20" w16cid:durableId="2174EFE9"/>
  <w16cid:commentId w16cid:paraId="1C76B431" w16cid:durableId="2174F07F"/>
  <w16cid:commentId w16cid:paraId="7F78C865" w16cid:durableId="2174F19E"/>
  <w16cid:commentId w16cid:paraId="5C07FD66" w16cid:durableId="2174F20D"/>
  <w16cid:commentId w16cid:paraId="7D7B9C37" w16cid:durableId="2174F289"/>
  <w16cid:commentId w16cid:paraId="69E1F5CB" w16cid:durableId="21745271"/>
  <w16cid:commentId w16cid:paraId="253CA143" w16cid:durableId="2174F2D1"/>
  <w16cid:commentId w16cid:paraId="3B6665D9" w16cid:durableId="2174F32B"/>
  <w16cid:commentId w16cid:paraId="50E5CBC5" w16cid:durableId="21749C97"/>
  <w16cid:commentId w16cid:paraId="790A1226" w16cid:durableId="217452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29C89" w14:textId="77777777" w:rsidR="00756E42" w:rsidRDefault="00756E42" w:rsidP="00DE7B5C">
      <w:r>
        <w:separator/>
      </w:r>
    </w:p>
  </w:endnote>
  <w:endnote w:type="continuationSeparator" w:id="0">
    <w:p w14:paraId="165DFAC1" w14:textId="77777777" w:rsidR="00756E42" w:rsidRDefault="00756E42" w:rsidP="00DE7B5C">
      <w:r>
        <w:continuationSeparator/>
      </w:r>
    </w:p>
  </w:endnote>
  <w:endnote w:type="continuationNotice" w:id="1">
    <w:p w14:paraId="0EFE5C3A" w14:textId="77777777" w:rsidR="00756E42" w:rsidRDefault="00756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docs-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D801D" w14:textId="7F9AF486" w:rsidR="00756E42" w:rsidRDefault="00756E42">
    <w:pPr>
      <w:pStyle w:val="Footer"/>
      <w:jc w:val="center"/>
    </w:pPr>
    <w:r>
      <w:fldChar w:fldCharType="begin"/>
    </w:r>
    <w:r>
      <w:instrText>PAGE</w:instrText>
    </w:r>
    <w:r>
      <w:fldChar w:fldCharType="separate"/>
    </w:r>
    <w:r w:rsidR="00B70B2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5FDE7" w14:textId="77777777" w:rsidR="00756E42" w:rsidRDefault="00756E42">
    <w:pPr>
      <w:pStyle w:val="Footer"/>
      <w:rPr>
        <w:sz w:val="24"/>
        <w:szCs w:val="24"/>
      </w:rPr>
    </w:pPr>
  </w:p>
  <w:p w14:paraId="4D5A66AD" w14:textId="77777777" w:rsidR="00756E42" w:rsidRDefault="00756E42">
    <w:pPr>
      <w:pStyle w:val="Footer"/>
    </w:pPr>
    <w:r w:rsidRPr="00312820">
      <w:rPr>
        <w:lang w:val="fr-FR"/>
      </w:rPr>
      <w:t xml:space="preserve">Commission européenne/Europese Commissie, 1049 Bruxelles/Brussel, BELGIQUE/BELGIË - Tel. </w:t>
    </w:r>
    <w:r>
      <w:t>+32 22991111</w:t>
    </w:r>
    <w:r>
      <w:rPr>
        <w:noProof/>
      </w:rPr>
      <w:br/>
      <w:t>Office: N105 06/63 - Tel. direct line +32 229-57718</w:t>
    </w:r>
  </w:p>
  <w:p w14:paraId="2021D9EF" w14:textId="77777777" w:rsidR="00756E42" w:rsidRDefault="00756E42">
    <w:pPr>
      <w:pStyle w:val="Footer"/>
    </w:pPr>
  </w:p>
  <w:p w14:paraId="4DB26C8E" w14:textId="77777777" w:rsidR="00756E42" w:rsidRDefault="00756E42">
    <w:pPr>
      <w:pStyle w:val="Footer"/>
      <w:rPr>
        <w:sz w:val="12"/>
        <w:szCs w:val="12"/>
      </w:rPr>
    </w:pPr>
    <w:r>
      <w:t>Nikita.STAMPA@ec.europa.eu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6546F" w14:textId="77777777" w:rsidR="00756E42" w:rsidRDefault="00756E42" w:rsidP="00DE7B5C">
      <w:r>
        <w:separator/>
      </w:r>
    </w:p>
  </w:footnote>
  <w:footnote w:type="continuationSeparator" w:id="0">
    <w:p w14:paraId="43408FE2" w14:textId="77777777" w:rsidR="00756E42" w:rsidRDefault="00756E42" w:rsidP="00DE7B5C">
      <w:r>
        <w:continuationSeparator/>
      </w:r>
    </w:p>
  </w:footnote>
  <w:footnote w:type="continuationNotice" w:id="1">
    <w:p w14:paraId="4555445D" w14:textId="77777777" w:rsidR="00756E42" w:rsidRDefault="00756E42"/>
  </w:footnote>
  <w:footnote w:id="2">
    <w:p w14:paraId="6060B83F" w14:textId="04024820" w:rsidR="00756E42" w:rsidRPr="00EB186D" w:rsidRDefault="00756E42" w:rsidP="00A63C11">
      <w:pPr>
        <w:pStyle w:val="FootnoteText"/>
        <w:spacing w:after="0"/>
        <w:rPr>
          <w:lang w:val="it-IT"/>
        </w:rPr>
      </w:pPr>
      <w:r>
        <w:rPr>
          <w:rStyle w:val="FootnoteReference"/>
        </w:rPr>
        <w:footnoteRef/>
      </w:r>
      <w:r>
        <w:t xml:space="preserve"> </w:t>
      </w:r>
      <w:r w:rsidRPr="00B62C1F">
        <w:rPr>
          <w:lang w:val="en-IE"/>
        </w:rPr>
        <w:t>https://eur-lex.europa.eu/legal-content/EN/TXT/?uri=CELEX:32019R1780</w:t>
      </w:r>
    </w:p>
  </w:footnote>
  <w:footnote w:id="3">
    <w:p w14:paraId="0DCEC21E" w14:textId="634EAF4A" w:rsidR="00756E42" w:rsidRPr="005B1441" w:rsidRDefault="00756E42" w:rsidP="00A63C11">
      <w:pPr>
        <w:pStyle w:val="FootnoteText"/>
        <w:spacing w:after="0"/>
        <w:rPr>
          <w:lang w:val="it-IT"/>
        </w:rPr>
      </w:pPr>
      <w:r w:rsidRPr="000012D9">
        <w:rPr>
          <w:rStyle w:val="FootnoteReference"/>
          <w:lang w:val="en-IE"/>
        </w:rPr>
        <w:footnoteRef/>
      </w:r>
      <w:r w:rsidRPr="005B1441">
        <w:rPr>
          <w:lang w:val="it-IT"/>
        </w:rPr>
        <w:t xml:space="preserve"> https://eur-lex.europa.eu/legal-content/EN/TXT/?uri=CELEX:32019R1780</w:t>
      </w:r>
    </w:p>
  </w:footnote>
  <w:footnote w:id="4">
    <w:p w14:paraId="53DE1D71" w14:textId="77777777" w:rsidR="00756E42" w:rsidRPr="000012D9" w:rsidRDefault="00756E42" w:rsidP="008F5F40">
      <w:pPr>
        <w:pStyle w:val="FootnoteText"/>
        <w:spacing w:after="0"/>
        <w:rPr>
          <w:lang w:val="en-IE"/>
        </w:rPr>
      </w:pPr>
      <w:r w:rsidRPr="000012D9">
        <w:rPr>
          <w:rStyle w:val="FootnoteReference"/>
          <w:lang w:val="en-IE"/>
        </w:rPr>
        <w:footnoteRef/>
      </w:r>
      <w:r w:rsidRPr="000012D9">
        <w:rPr>
          <w:lang w:val="en-IE"/>
        </w:rPr>
        <w:t xml:space="preserve"> Currently, certain large contracting authorities send notices using their own systems.</w:t>
      </w:r>
    </w:p>
  </w:footnote>
  <w:footnote w:id="5">
    <w:p w14:paraId="58773B4A" w14:textId="77777777" w:rsidR="00756E42" w:rsidRPr="000012D9" w:rsidRDefault="00756E42" w:rsidP="00586268">
      <w:pPr>
        <w:pStyle w:val="FootnoteText"/>
        <w:spacing w:after="0"/>
        <w:rPr>
          <w:lang w:val="en-IE"/>
        </w:rPr>
      </w:pPr>
      <w:r w:rsidRPr="000012D9">
        <w:rPr>
          <w:rStyle w:val="FootnoteReference"/>
          <w:lang w:val="en-IE"/>
        </w:rPr>
        <w:footnoteRef/>
      </w:r>
      <w:r w:rsidRPr="000012D9">
        <w:rPr>
          <w:lang w:val="en-IE"/>
        </w:rPr>
        <w:t xml:space="preserve"> </w:t>
      </w:r>
      <w:hyperlink r:id="rId1" w:history="1">
        <w:r w:rsidRPr="000012D9">
          <w:rPr>
            <w:rStyle w:val="Hyperlink"/>
            <w:lang w:val="en-IE"/>
          </w:rPr>
          <w:t>ted.europa.eu</w:t>
        </w:r>
      </w:hyperlink>
      <w:r w:rsidRPr="000012D9">
        <w:rPr>
          <w:lang w:val="en-IE"/>
        </w:rPr>
        <w:t xml:space="preserve"> </w:t>
      </w:r>
    </w:p>
  </w:footnote>
  <w:footnote w:id="6">
    <w:p w14:paraId="62E900D1" w14:textId="667446A0" w:rsidR="00756E42" w:rsidRPr="000012D9" w:rsidRDefault="00756E42" w:rsidP="002811F0">
      <w:pPr>
        <w:pStyle w:val="NoSpacing"/>
        <w:rPr>
          <w:lang w:val="en-IE"/>
        </w:rPr>
      </w:pPr>
      <w:r w:rsidRPr="000012D9">
        <w:rPr>
          <w:rStyle w:val="FootnoteReference"/>
          <w:lang w:val="en-IE"/>
        </w:rPr>
        <w:footnoteRef/>
      </w:r>
      <w:r w:rsidRPr="000012D9">
        <w:rPr>
          <w:lang w:val="en-IE"/>
        </w:rPr>
        <w:t xml:space="preserve"> </w:t>
      </w:r>
      <w:r w:rsidRPr="000012D9">
        <w:rPr>
          <w:rFonts w:ascii="Times New Roman" w:hAnsi="Times New Roman" w:cs="Times New Roman"/>
          <w:sz w:val="20"/>
          <w:szCs w:val="20"/>
          <w:lang w:val="en-IE"/>
        </w:rPr>
        <w:t>Implementation sometimes also referred to as “in this country”, in an “EU country”, as the context for many implementations is a MS (even though it can also be region, local, etc.)</w:t>
      </w:r>
    </w:p>
  </w:footnote>
  <w:footnote w:id="7">
    <w:p w14:paraId="199DE3FA" w14:textId="4218EB84" w:rsidR="00756E42" w:rsidRPr="000012D9" w:rsidRDefault="00756E42" w:rsidP="0096546D">
      <w:pPr>
        <w:pStyle w:val="FootnoteText"/>
        <w:spacing w:after="0"/>
        <w:rPr>
          <w:lang w:val="en-IE"/>
        </w:rPr>
      </w:pPr>
      <w:r w:rsidRPr="000012D9">
        <w:rPr>
          <w:rStyle w:val="FootnoteReference"/>
          <w:rFonts w:eastAsiaTheme="majorEastAsia"/>
          <w:lang w:val="en-IE"/>
        </w:rPr>
        <w:footnoteRef/>
      </w:r>
      <w:r w:rsidRPr="000012D9">
        <w:rPr>
          <w:lang w:val="en-IE"/>
        </w:rPr>
        <w:t xml:space="preserve"> See definition of open standard at </w:t>
      </w:r>
      <w:hyperlink r:id="rId2" w:history="1">
        <w:r w:rsidRPr="000012D9">
          <w:rPr>
            <w:rStyle w:val="Hyperlink"/>
            <w:lang w:val="en-IE"/>
          </w:rPr>
          <w:t>http://ec.europa.eu/idabc/servlets/Docd552.pdf</w:t>
        </w:r>
      </w:hyperlink>
      <w:r w:rsidRPr="000012D9">
        <w:rPr>
          <w:lang w:val="en-IE"/>
        </w:rPr>
        <w:t>, p.9.</w:t>
      </w:r>
    </w:p>
  </w:footnote>
  <w:footnote w:id="8">
    <w:p w14:paraId="2C586E3C" w14:textId="54A7F9C8" w:rsidR="00756E42" w:rsidRPr="004152BB" w:rsidRDefault="00756E42" w:rsidP="00EB186D">
      <w:pPr>
        <w:pStyle w:val="FootnoteText"/>
        <w:spacing w:after="0"/>
        <w:rPr>
          <w:lang w:val="en-IE"/>
        </w:rPr>
      </w:pPr>
      <w:r>
        <w:rPr>
          <w:rStyle w:val="FootnoteReference"/>
        </w:rPr>
        <w:footnoteRef/>
      </w:r>
      <w:r>
        <w:t xml:space="preserve"> </w:t>
      </w:r>
      <w:r w:rsidRPr="00B62C1F">
        <w:t>https://eur-lex.europa.eu/legal-content/EN/TXT/?uri=CELEX:32019R1780</w:t>
      </w:r>
    </w:p>
  </w:footnote>
  <w:footnote w:id="9">
    <w:p w14:paraId="68907AF8" w14:textId="0FB24C0C" w:rsidR="00756E42" w:rsidRPr="00B83132" w:rsidRDefault="00756E42" w:rsidP="007D4B05">
      <w:pPr>
        <w:pStyle w:val="NoSpacing"/>
        <w:rPr>
          <w:lang w:val="en-IE"/>
        </w:rPr>
      </w:pPr>
      <w:r w:rsidRPr="007D4B05">
        <w:rPr>
          <w:rStyle w:val="FootnoteReference"/>
          <w:sz w:val="20"/>
          <w:szCs w:val="20"/>
        </w:rPr>
        <w:footnoteRef/>
      </w:r>
      <w:r w:rsidRPr="007D4B05">
        <w:rPr>
          <w:sz w:val="20"/>
          <w:szCs w:val="20"/>
        </w:rPr>
        <w:t xml:space="preserve"> </w:t>
      </w:r>
      <w:r w:rsidRPr="00FD01A5">
        <w:rPr>
          <w:sz w:val="20"/>
          <w:szCs w:val="20"/>
        </w:rPr>
        <w:t>Questions and answers about eForms have been largely managed through the GitHub discussion forum</w:t>
      </w:r>
      <w:r>
        <w:rPr>
          <w:sz w:val="20"/>
          <w:szCs w:val="20"/>
        </w:rPr>
        <w:t xml:space="preserve">. </w:t>
      </w:r>
      <w:r w:rsidRPr="007D4B05">
        <w:rPr>
          <w:sz w:val="20"/>
          <w:szCs w:val="20"/>
          <w:lang w:val="en-IE"/>
        </w:rPr>
        <w:t>How to search and use the GitHub discussion forum is explained in</w:t>
      </w:r>
      <w:r>
        <w:rPr>
          <w:sz w:val="20"/>
          <w:szCs w:val="20"/>
          <w:lang w:val="en-IE"/>
        </w:rPr>
        <w:t xml:space="preserve"> Annex II of this document.</w:t>
      </w:r>
    </w:p>
  </w:footnote>
  <w:footnote w:id="10">
    <w:p w14:paraId="0E976082" w14:textId="26EC8BF2" w:rsidR="00756E42" w:rsidRPr="007D4B05" w:rsidRDefault="00756E42" w:rsidP="00EB186D">
      <w:pPr>
        <w:pStyle w:val="FootnoteText"/>
        <w:spacing w:after="0"/>
        <w:rPr>
          <w:lang w:val="en-IE"/>
        </w:rPr>
      </w:pPr>
      <w:r>
        <w:rPr>
          <w:rStyle w:val="FootnoteReference"/>
        </w:rPr>
        <w:footnoteRef/>
      </w:r>
      <w:r w:rsidRPr="007D4B05">
        <w:rPr>
          <w:lang w:val="en-IE"/>
        </w:rPr>
        <w:t xml:space="preserve"> https://ted.europa.eu/TED/main/HomePage.do</w:t>
      </w:r>
    </w:p>
  </w:footnote>
  <w:footnote w:id="11">
    <w:p w14:paraId="4B4A7ACE" w14:textId="64113DD0" w:rsidR="00756E42" w:rsidRPr="002838C0" w:rsidRDefault="00756E42">
      <w:pPr>
        <w:pStyle w:val="FootnoteText"/>
        <w:rPr>
          <w:lang w:val="it-IT"/>
        </w:rPr>
      </w:pPr>
      <w:r>
        <w:rPr>
          <w:rStyle w:val="FootnoteReference"/>
        </w:rPr>
        <w:footnoteRef/>
      </w:r>
      <w:r>
        <w:t xml:space="preserve"> </w:t>
      </w:r>
      <w:r>
        <w:rPr>
          <w:lang w:val="it-IT"/>
        </w:rPr>
        <w:t>Source: internal production statistics of the Publications Office of the EU.</w:t>
      </w:r>
    </w:p>
  </w:footnote>
  <w:footnote w:id="12">
    <w:p w14:paraId="76418AD3" w14:textId="640B379B" w:rsidR="00756E42" w:rsidRPr="005B1441" w:rsidRDefault="00756E42" w:rsidP="002C7E3A">
      <w:pPr>
        <w:pStyle w:val="FootnoteText"/>
        <w:spacing w:after="0"/>
        <w:rPr>
          <w:lang w:val="it-IT"/>
        </w:rPr>
      </w:pPr>
      <w:r w:rsidRPr="000012D9">
        <w:rPr>
          <w:rStyle w:val="FootnoteReference"/>
          <w:lang w:val="en-IE"/>
        </w:rPr>
        <w:footnoteRef/>
      </w:r>
      <w:r w:rsidRPr="005B1441">
        <w:rPr>
          <w:lang w:val="it-IT"/>
        </w:rPr>
        <w:t xml:space="preserve"> </w:t>
      </w:r>
      <w:hyperlink r:id="rId3" w:history="1">
        <w:r w:rsidRPr="005B1441">
          <w:rPr>
            <w:rStyle w:val="Hyperlink"/>
            <w:rFonts w:eastAsiaTheme="majorEastAsia"/>
            <w:lang w:val="it-IT"/>
          </w:rPr>
          <w:t>https://www.youtube.com/watch?v=umPzag0wbj8</w:t>
        </w:r>
      </w:hyperlink>
    </w:p>
  </w:footnote>
  <w:footnote w:id="13">
    <w:p w14:paraId="1D3168AE" w14:textId="2A826FB0" w:rsidR="00756E42" w:rsidRPr="000012D9" w:rsidRDefault="00756E42" w:rsidP="00EB186D">
      <w:pPr>
        <w:pStyle w:val="FootnoteText"/>
        <w:spacing w:after="0"/>
        <w:rPr>
          <w:lang w:val="en-IE"/>
        </w:rPr>
      </w:pPr>
      <w:r w:rsidRPr="000012D9">
        <w:rPr>
          <w:rStyle w:val="FootnoteReference"/>
          <w:lang w:val="en-IE"/>
        </w:rPr>
        <w:footnoteRef/>
      </w:r>
      <w:r w:rsidRPr="000012D9">
        <w:rPr>
          <w:lang w:val="en-IE"/>
        </w:rPr>
        <w:t xml:space="preserve"> This is sometimes referred to as “value added services”. </w:t>
      </w:r>
    </w:p>
  </w:footnote>
  <w:footnote w:id="14">
    <w:p w14:paraId="56A188BA" w14:textId="35F4F968" w:rsidR="00756E42" w:rsidRPr="00A85DFF" w:rsidRDefault="00756E42" w:rsidP="00EB186D">
      <w:pPr>
        <w:pStyle w:val="FootnoteText"/>
        <w:spacing w:after="0"/>
      </w:pPr>
      <w:r>
        <w:rPr>
          <w:rStyle w:val="FootnoteReference"/>
        </w:rPr>
        <w:footnoteRef/>
      </w:r>
      <w:r>
        <w:t xml:space="preserve"> Before declaring that a procedure falls under </w:t>
      </w:r>
      <w:r w:rsidRPr="00EB186D">
        <w:rPr>
          <w:b/>
        </w:rPr>
        <w:t>innovation partnership</w:t>
      </w:r>
      <w:r>
        <w:t>, there are some requirements to be verified: 1. Does the contracting authority have identified in the procurement documents the need for an innovative product, service or work that cannot be satisfied by purchasing products, services or works already available on the market? 2. Does the contract cover the research and development of innovative products, services or works and the acquisition of innovative products, services or works resulting from them? 3. Does the procurement documents provide for several successive phases of research and development and one or more phases of acquisition? 4. Is the procedure applied the competitive procedure with negotiation? 5. During the selection phase of the candidates, did the contracting authority apply criteria relating to the candidates' capacity for research and development, development and the implementation of innovative solutions? 6. Has the contracting authority defined in the procurement documents the regime applicable to intellectual property rights?</w:t>
      </w:r>
    </w:p>
  </w:footnote>
  <w:footnote w:id="15">
    <w:p w14:paraId="01B5E9CB" w14:textId="387D5DCF" w:rsidR="00756E42" w:rsidRPr="000012D9" w:rsidRDefault="00756E42" w:rsidP="00910EC5">
      <w:pPr>
        <w:pStyle w:val="FootnoteText"/>
        <w:spacing w:after="0"/>
        <w:rPr>
          <w:lang w:val="en-IE"/>
        </w:rPr>
      </w:pPr>
      <w:r w:rsidRPr="000012D9">
        <w:rPr>
          <w:rStyle w:val="FootnoteReference"/>
          <w:lang w:val="en-IE"/>
        </w:rPr>
        <w:footnoteRef/>
      </w:r>
      <w:r w:rsidRPr="000012D9">
        <w:rPr>
          <w:lang w:val="en-IE"/>
        </w:rPr>
        <w:t xml:space="preserve"> Civil society stands for citizens, NGOs, academics, etc.</w:t>
      </w:r>
    </w:p>
  </w:footnote>
  <w:footnote w:id="16">
    <w:p w14:paraId="34335477" w14:textId="5A6E7F8B" w:rsidR="00756E42" w:rsidRPr="000012D9" w:rsidRDefault="00756E42" w:rsidP="00CE3804">
      <w:pPr>
        <w:pStyle w:val="FootnoteText"/>
        <w:spacing w:after="0"/>
        <w:rPr>
          <w:lang w:val="en-IE"/>
        </w:rPr>
      </w:pPr>
      <w:r w:rsidRPr="000012D9">
        <w:rPr>
          <w:rStyle w:val="FootnoteReference"/>
          <w:lang w:val="en-IE"/>
        </w:rPr>
        <w:footnoteRef/>
      </w:r>
      <w:r w:rsidRPr="000012D9">
        <w:rPr>
          <w:lang w:val="en-IE"/>
        </w:rPr>
        <w:t xml:space="preserve"> </w:t>
      </w:r>
      <w:hyperlink r:id="rId4" w:history="1">
        <w:r w:rsidRPr="000012D9">
          <w:rPr>
            <w:rStyle w:val="Hyperlink"/>
            <w:rFonts w:eastAsiaTheme="majorEastAsia"/>
            <w:lang w:val="en-IE"/>
          </w:rPr>
          <w:t>http://data.europa.eu/euodp/en/data/</w:t>
        </w:r>
      </w:hyperlink>
    </w:p>
  </w:footnote>
  <w:footnote w:id="17">
    <w:p w14:paraId="1EAF47EF" w14:textId="06BFBA71" w:rsidR="00756E42" w:rsidRPr="000012D9" w:rsidRDefault="00756E42" w:rsidP="00F35478">
      <w:pPr>
        <w:pStyle w:val="FootnoteText"/>
        <w:spacing w:after="0"/>
        <w:rPr>
          <w:lang w:val="en-IE"/>
        </w:rPr>
      </w:pPr>
      <w:r w:rsidRPr="000012D9">
        <w:rPr>
          <w:rStyle w:val="FootnoteReference"/>
          <w:lang w:val="en-IE"/>
        </w:rPr>
        <w:footnoteRef/>
      </w:r>
      <w:r w:rsidRPr="000012D9">
        <w:rPr>
          <w:lang w:val="en-IE"/>
        </w:rPr>
        <w:t xml:space="preserve"> See e.g. “</w:t>
      </w:r>
      <w:hyperlink r:id="rId5" w:history="1">
        <w:r w:rsidRPr="000012D9">
          <w:rPr>
            <w:rStyle w:val="Hyperlink"/>
            <w:lang w:val="en-IE"/>
          </w:rPr>
          <w:t>Uncovering High-Level Corruption: Cross-National Objective Corruption Risk Indicators Using Public Procurement Data</w:t>
        </w:r>
      </w:hyperlink>
      <w:r w:rsidRPr="000012D9">
        <w:rPr>
          <w:lang w:val="en-IE"/>
        </w:rPr>
        <w:t xml:space="preserve">” and </w:t>
      </w:r>
      <w:hyperlink r:id="rId6" w:history="1">
        <w:r w:rsidRPr="000012D9">
          <w:rPr>
            <w:rStyle w:val="Hyperlink"/>
            <w:rFonts w:eastAsiaTheme="majorEastAsia"/>
            <w:lang w:val="en-IE"/>
          </w:rPr>
          <w:t>http://www.oecd.org/gov/ethics/analytics-for-integrity.pdf</w:t>
        </w:r>
      </w:hyperlink>
      <w:r w:rsidRPr="000012D9">
        <w:rPr>
          <w:lang w:val="en-IE"/>
        </w:rPr>
        <w:t xml:space="preserve">. In both cases, similar indicators to those used to find integrity issues or corruption can be used to identify professionalisation issues. </w:t>
      </w:r>
    </w:p>
  </w:footnote>
  <w:footnote w:id="18">
    <w:p w14:paraId="2C37B03E" w14:textId="568AAED9" w:rsidR="00756E42" w:rsidRPr="000012D9" w:rsidRDefault="00756E42">
      <w:pPr>
        <w:pStyle w:val="FootnoteText"/>
        <w:rPr>
          <w:lang w:val="en-IE"/>
        </w:rPr>
      </w:pPr>
      <w:r w:rsidRPr="000012D9">
        <w:rPr>
          <w:rStyle w:val="FootnoteReference"/>
          <w:lang w:val="en-IE"/>
        </w:rPr>
        <w:footnoteRef/>
      </w:r>
      <w:r w:rsidRPr="000012D9">
        <w:rPr>
          <w:lang w:val="en-IE"/>
        </w:rPr>
        <w:t xml:space="preserve"> </w:t>
      </w:r>
      <w:hyperlink r:id="rId7" w:history="1">
        <w:r w:rsidRPr="000012D9">
          <w:rPr>
            <w:rStyle w:val="Hyperlink"/>
            <w:rFonts w:eastAsiaTheme="majorEastAsia"/>
            <w:lang w:val="en-IE"/>
          </w:rPr>
          <w:t>https://eur-lex.europa.eu/legal-content/EN/ALL/?uri=CELEX%3A32009L0033</w:t>
        </w:r>
      </w:hyperlink>
    </w:p>
  </w:footnote>
  <w:footnote w:id="19">
    <w:p w14:paraId="05A3AE82" w14:textId="0B4FC8F9" w:rsidR="00756E42" w:rsidRPr="000012D9" w:rsidRDefault="00756E42" w:rsidP="0093285A">
      <w:pPr>
        <w:pStyle w:val="FootnoteText"/>
        <w:rPr>
          <w:lang w:val="en-IE"/>
        </w:rPr>
      </w:pPr>
      <w:r w:rsidRPr="000012D9">
        <w:rPr>
          <w:rStyle w:val="FootnoteReference"/>
          <w:lang w:val="en-IE"/>
        </w:rPr>
        <w:footnoteRef/>
      </w:r>
      <w:r w:rsidRPr="000012D9">
        <w:rPr>
          <w:lang w:val="en-IE"/>
        </w:rPr>
        <w:t xml:space="preserve"> For more information about PM</w:t>
      </w:r>
      <w:r w:rsidRPr="000012D9">
        <w:rPr>
          <w:vertAlign w:val="superscript"/>
          <w:lang w:val="en-IE"/>
        </w:rPr>
        <w:t>2</w:t>
      </w:r>
      <w:r w:rsidRPr="000012D9">
        <w:rPr>
          <w:lang w:val="en-IE"/>
        </w:rPr>
        <w:t xml:space="preserve">, see </w:t>
      </w:r>
      <w:hyperlink r:id="rId8" w:history="1">
        <w:r w:rsidRPr="000012D9">
          <w:rPr>
            <w:color w:val="1155CC"/>
            <w:u w:val="single"/>
            <w:lang w:val="en-IE"/>
          </w:rPr>
          <w:t>https://ec.europa.eu/isa2/solutions/open-pm2_en</w:t>
        </w:r>
      </w:hyperlink>
      <w:r w:rsidRPr="000012D9">
        <w:rPr>
          <w:lang w:val="en-IE"/>
        </w:rPr>
        <w:t>.</w:t>
      </w:r>
    </w:p>
  </w:footnote>
  <w:footnote w:id="20">
    <w:p w14:paraId="6CDF89F3" w14:textId="6119C2C7" w:rsidR="00756E42" w:rsidRPr="00E33ACE" w:rsidRDefault="00756E42" w:rsidP="0038059F">
      <w:pPr>
        <w:pStyle w:val="FootnoteText"/>
        <w:spacing w:after="0"/>
        <w:rPr>
          <w:lang w:val="en-IE"/>
        </w:rPr>
      </w:pPr>
      <w:r w:rsidRPr="000012D9">
        <w:rPr>
          <w:rStyle w:val="FootnoteReference"/>
          <w:lang w:val="en-IE"/>
        </w:rPr>
        <w:footnoteRef/>
      </w:r>
      <w:r w:rsidRPr="00E33ACE">
        <w:rPr>
          <w:lang w:val="en-IE"/>
        </w:rPr>
        <w:t xml:space="preserve"> </w:t>
      </w:r>
      <w:hyperlink r:id="rId9" w:anchor="issuecomment-425425283" w:history="1">
        <w:r w:rsidRPr="00E33ACE">
          <w:rPr>
            <w:rStyle w:val="Hyperlink"/>
            <w:rFonts w:cstheme="minorHAnsi"/>
            <w:color w:val="1155CC"/>
            <w:lang w:val="en-IE"/>
          </w:rPr>
          <w:t>https://github.com/eForms/eForms/issues/169</w:t>
        </w:r>
      </w:hyperlink>
    </w:p>
  </w:footnote>
  <w:footnote w:id="21">
    <w:p w14:paraId="30F70A7F" w14:textId="2F0392A5" w:rsidR="00756E42" w:rsidRPr="000012D9" w:rsidRDefault="00756E42" w:rsidP="0014243A">
      <w:pPr>
        <w:pStyle w:val="FootnoteText"/>
        <w:spacing w:after="0"/>
        <w:rPr>
          <w:lang w:val="en-IE"/>
        </w:rPr>
      </w:pPr>
      <w:r w:rsidRPr="000012D9">
        <w:rPr>
          <w:rStyle w:val="FootnoteReference"/>
          <w:lang w:val="en-IE"/>
        </w:rPr>
        <w:footnoteRef/>
      </w:r>
      <w:r w:rsidRPr="000012D9">
        <w:rPr>
          <w:lang w:val="en-IE"/>
        </w:rPr>
        <w:t xml:space="preserve"> This is done in eForms by publishing a contract award notice with repeated Tender (BG-320) and Contract (BG-310).</w:t>
      </w:r>
    </w:p>
  </w:footnote>
  <w:footnote w:id="22">
    <w:p w14:paraId="3BAE1753" w14:textId="77777777" w:rsidR="00756E42" w:rsidRPr="000012D9" w:rsidRDefault="00756E42" w:rsidP="00B62C5C">
      <w:pPr>
        <w:pStyle w:val="FootnoteText"/>
        <w:spacing w:after="0"/>
        <w:rPr>
          <w:lang w:val="en-IE"/>
        </w:rPr>
      </w:pPr>
      <w:r w:rsidRPr="000012D9">
        <w:rPr>
          <w:rStyle w:val="FootnoteReference"/>
          <w:lang w:val="en-IE"/>
        </w:rPr>
        <w:footnoteRef/>
      </w:r>
      <w:r w:rsidRPr="000012D9">
        <w:rPr>
          <w:lang w:val="en-IE"/>
        </w:rPr>
        <w:t xml:space="preserve"> For example with re-opening of competition or where winners are in a cascade.</w:t>
      </w:r>
    </w:p>
  </w:footnote>
  <w:footnote w:id="23">
    <w:p w14:paraId="40DCC13D" w14:textId="3C90828D" w:rsidR="00756E42" w:rsidRPr="00F37606" w:rsidRDefault="00756E42" w:rsidP="00EB186D">
      <w:pPr>
        <w:pStyle w:val="FootnoteText"/>
        <w:spacing w:after="0"/>
        <w:rPr>
          <w:lang w:val="en-IE"/>
        </w:rPr>
      </w:pPr>
      <w:r>
        <w:rPr>
          <w:rStyle w:val="FootnoteReference"/>
        </w:rPr>
        <w:footnoteRef/>
      </w:r>
      <w:r>
        <w:t xml:space="preserve"> </w:t>
      </w:r>
      <w:r w:rsidRPr="00B62C5C">
        <w:t>https://eur-lex.europa.eu/eli/dir/2019/1161/oj</w:t>
      </w:r>
    </w:p>
  </w:footnote>
  <w:footnote w:id="24">
    <w:p w14:paraId="73731B8F" w14:textId="00138F55" w:rsidR="00756E42" w:rsidRPr="000012D9" w:rsidRDefault="00756E42" w:rsidP="003D557E">
      <w:pPr>
        <w:pStyle w:val="FootnoteText"/>
        <w:spacing w:after="0"/>
        <w:rPr>
          <w:lang w:val="en-IE"/>
        </w:rPr>
      </w:pPr>
      <w:r w:rsidRPr="000012D9">
        <w:rPr>
          <w:rStyle w:val="FootnoteReference"/>
          <w:lang w:val="en-IE"/>
        </w:rPr>
        <w:footnoteRef/>
      </w:r>
      <w:r w:rsidRPr="000012D9">
        <w:rPr>
          <w:lang w:val="en-IE"/>
        </w:rPr>
        <w:t xml:space="preserve"> Near 60% in Romania, near 50% in France, around 40% in Croatia, Estonia, Denmark, Netherlands and Slovakia. (Source: 2018 TED data, DG GROW’s calculations.)  </w:t>
      </w:r>
    </w:p>
  </w:footnote>
  <w:footnote w:id="25">
    <w:p w14:paraId="4C8A011D" w14:textId="7E8F5597" w:rsidR="00756E42" w:rsidRPr="000012D9" w:rsidRDefault="00756E42" w:rsidP="00247917">
      <w:pPr>
        <w:pStyle w:val="NoSpacing"/>
        <w:rPr>
          <w:lang w:val="en-IE"/>
        </w:rPr>
      </w:pPr>
      <w:r w:rsidRPr="000012D9">
        <w:rPr>
          <w:rStyle w:val="FootnoteReference"/>
          <w:lang w:val="en-IE"/>
        </w:rPr>
        <w:footnoteRef/>
      </w:r>
      <w:r w:rsidRPr="000012D9">
        <w:rPr>
          <w:lang w:val="en-IE"/>
        </w:rPr>
        <w:t xml:space="preserve"> </w:t>
      </w:r>
      <w:r w:rsidRPr="000012D9">
        <w:rPr>
          <w:rFonts w:ascii="Times New Roman" w:eastAsia="Times New Roman" w:hAnsi="Times New Roman" w:cs="Times New Roman"/>
          <w:sz w:val="20"/>
          <w:szCs w:val="20"/>
          <w:lang w:val="en-IE"/>
        </w:rPr>
        <w:t>See e.g. Art. 72 of Directive 2014/24/EU. Technically, publishing smaller modifications can be allowed (or disallowed) by limiting the values in the codelist for Modifications Reason Code (BT-200).</w:t>
      </w:r>
      <w:r w:rsidRPr="000012D9">
        <w:rPr>
          <w:lang w:val="en-IE"/>
        </w:rPr>
        <w:t xml:space="preserve"> </w:t>
      </w:r>
    </w:p>
  </w:footnote>
  <w:footnote w:id="26">
    <w:p w14:paraId="19B61A9A" w14:textId="42DD7B43" w:rsidR="00756E42" w:rsidRPr="000012D9" w:rsidRDefault="00756E42" w:rsidP="00F37606">
      <w:pPr>
        <w:pStyle w:val="FootnoteText"/>
        <w:spacing w:after="0"/>
        <w:rPr>
          <w:lang w:val="en-IE"/>
        </w:rPr>
      </w:pPr>
      <w:r w:rsidRPr="000012D9">
        <w:rPr>
          <w:rStyle w:val="FootnoteReference"/>
          <w:lang w:val="en-IE"/>
        </w:rPr>
        <w:footnoteRef/>
      </w:r>
      <w:r w:rsidRPr="000012D9">
        <w:rPr>
          <w:lang w:val="en-IE"/>
        </w:rPr>
        <w:t xml:space="preserve"> This is done by submitting multiple Tender (BG-320) sections, where only the winning one will be referred to by Contract Tender Identifier (BT-3202), others not. All tenders can be ranked by Tender Rank (BT-171). </w:t>
      </w:r>
    </w:p>
  </w:footnote>
  <w:footnote w:id="27">
    <w:p w14:paraId="5A13AF05" w14:textId="77777777" w:rsidR="00756E42" w:rsidRPr="00F313AA" w:rsidRDefault="00756E42" w:rsidP="00A84357">
      <w:pPr>
        <w:pStyle w:val="FootnoteText"/>
      </w:pPr>
      <w:r>
        <w:rPr>
          <w:rStyle w:val="FootnoteReference"/>
        </w:rPr>
        <w:footnoteRef/>
      </w:r>
      <w:r>
        <w:t xml:space="preserve"> </w:t>
      </w:r>
      <w:r w:rsidRPr="00F313AA">
        <w:t>Art 51(6) of Directive 24/2014. Contracting authorities may publish notices for public contracts that are not subject to the publication requirement laid down in this Directive provided that those notices are sent to the Publications Office of the European Union by electronic means in accordance with the format and procedures for transmission indicated in Annex VIII.</w:t>
      </w:r>
    </w:p>
  </w:footnote>
  <w:footnote w:id="28">
    <w:p w14:paraId="08A38430" w14:textId="1A787AB8" w:rsidR="00756E42" w:rsidRPr="000012D9" w:rsidRDefault="00756E42" w:rsidP="0053585B">
      <w:pPr>
        <w:pStyle w:val="FootnoteText"/>
        <w:spacing w:after="0"/>
        <w:rPr>
          <w:lang w:val="en-IE"/>
        </w:rPr>
      </w:pPr>
      <w:r w:rsidRPr="000012D9">
        <w:rPr>
          <w:rStyle w:val="FootnoteReference"/>
          <w:lang w:val="en-IE"/>
        </w:rPr>
        <w:footnoteRef/>
      </w:r>
      <w:r w:rsidRPr="000012D9">
        <w:rPr>
          <w:lang w:val="en-IE"/>
        </w:rPr>
        <w:t xml:space="preserve"> See e.g. Art. 48(1) of Directive 2014/24/EU. </w:t>
      </w:r>
    </w:p>
  </w:footnote>
  <w:footnote w:id="29">
    <w:p w14:paraId="32B970F1" w14:textId="259542CF" w:rsidR="00756E42" w:rsidRPr="000012D9" w:rsidRDefault="00756E42" w:rsidP="00F35EFC">
      <w:pPr>
        <w:pStyle w:val="FootnoteText"/>
        <w:spacing w:after="0"/>
        <w:rPr>
          <w:lang w:val="en-IE"/>
        </w:rPr>
      </w:pPr>
      <w:r w:rsidRPr="000012D9">
        <w:rPr>
          <w:rStyle w:val="FootnoteReference"/>
          <w:lang w:val="en-IE"/>
        </w:rPr>
        <w:footnoteRef/>
      </w:r>
      <w:r w:rsidRPr="000012D9">
        <w:rPr>
          <w:lang w:val="en-IE"/>
        </w:rPr>
        <w:t xml:space="preserve"> Column 1, 2 and 3 of Table 2 the eForms Implementing Regulation.  </w:t>
      </w:r>
    </w:p>
  </w:footnote>
  <w:footnote w:id="30">
    <w:p w14:paraId="6AC73928" w14:textId="4BCFD2B2" w:rsidR="00756E42" w:rsidRPr="000012D9" w:rsidRDefault="00756E42" w:rsidP="00F35EFC">
      <w:pPr>
        <w:pStyle w:val="FootnoteText"/>
        <w:spacing w:after="0"/>
        <w:rPr>
          <w:lang w:val="en-IE"/>
        </w:rPr>
      </w:pPr>
      <w:r w:rsidRPr="000012D9">
        <w:rPr>
          <w:rStyle w:val="FootnoteReference"/>
          <w:lang w:val="en-IE"/>
        </w:rPr>
        <w:footnoteRef/>
      </w:r>
      <w:r w:rsidRPr="000012D9">
        <w:rPr>
          <w:lang w:val="en-IE"/>
        </w:rPr>
        <w:t xml:space="preserve"> See e.g. Art 26(5) of Directive 2014/24/EU</w:t>
      </w:r>
      <w:r w:rsidRPr="000012D9">
        <w:rPr>
          <w:rFonts w:ascii="Calibri" w:hAnsi="Calibri"/>
          <w:color w:val="000000"/>
          <w:sz w:val="16"/>
          <w:szCs w:val="16"/>
          <w:lang w:val="en-IE" w:eastAsia="en-GB"/>
        </w:rPr>
        <w:t xml:space="preserve"> </w:t>
      </w:r>
    </w:p>
  </w:footnote>
  <w:footnote w:id="31">
    <w:p w14:paraId="68BF3CB6" w14:textId="38C72ACD" w:rsidR="00756E42" w:rsidRPr="000012D9" w:rsidRDefault="00756E42" w:rsidP="00F35EFC">
      <w:pPr>
        <w:pStyle w:val="FootnoteText"/>
        <w:spacing w:after="0"/>
        <w:rPr>
          <w:lang w:val="en-IE"/>
        </w:rPr>
      </w:pPr>
      <w:r w:rsidRPr="000012D9">
        <w:rPr>
          <w:rStyle w:val="FootnoteReference"/>
          <w:lang w:val="en-IE"/>
        </w:rPr>
        <w:footnoteRef/>
      </w:r>
      <w:r w:rsidRPr="000012D9">
        <w:rPr>
          <w:lang w:val="en-IE"/>
        </w:rPr>
        <w:t xml:space="preserve"> Columns 10 and 11 (general regime) and 12-14 (light reg.) of Table 2 the eForms Implementing Regulation.</w:t>
      </w:r>
    </w:p>
  </w:footnote>
  <w:footnote w:id="32">
    <w:p w14:paraId="6A56F546" w14:textId="2D019106" w:rsidR="00756E42" w:rsidRPr="000012D9" w:rsidRDefault="00756E42" w:rsidP="00F35EFC">
      <w:pPr>
        <w:pStyle w:val="NoSpacing"/>
        <w:rPr>
          <w:lang w:val="en-IE"/>
        </w:rPr>
      </w:pPr>
      <w:r w:rsidRPr="000012D9">
        <w:rPr>
          <w:rStyle w:val="FootnoteReference"/>
          <w:lang w:val="en-IE"/>
        </w:rPr>
        <w:footnoteRef/>
      </w:r>
      <w:r w:rsidRPr="000012D9">
        <w:rPr>
          <w:lang w:val="en-IE"/>
        </w:rPr>
        <w:t xml:space="preserve"> </w:t>
      </w:r>
      <w:hyperlink r:id="rId10" w:history="1">
        <w:r w:rsidRPr="000012D9">
          <w:rPr>
            <w:rStyle w:val="Hyperlink"/>
            <w:rFonts w:ascii="Times New Roman" w:hAnsi="Times New Roman" w:cs="Times New Roman"/>
            <w:sz w:val="20"/>
            <w:szCs w:val="20"/>
            <w:lang w:val="en-IE"/>
          </w:rPr>
          <w:t>https://github.com/eForms/eForms/issues/81</w:t>
        </w:r>
      </w:hyperlink>
      <w:r w:rsidRPr="000012D9">
        <w:rPr>
          <w:rFonts w:ascii="Times New Roman" w:hAnsi="Times New Roman" w:cs="Times New Roman"/>
          <w:sz w:val="20"/>
          <w:szCs w:val="20"/>
          <w:lang w:val="en-IE"/>
        </w:rPr>
        <w:t xml:space="preserve"> </w:t>
      </w:r>
    </w:p>
  </w:footnote>
  <w:footnote w:id="33">
    <w:p w14:paraId="00ED7245" w14:textId="5EB55D36" w:rsidR="00756E42" w:rsidRPr="000012D9" w:rsidRDefault="00756E42" w:rsidP="00F35EFC">
      <w:pPr>
        <w:pStyle w:val="FootnoteText"/>
        <w:spacing w:after="0"/>
        <w:rPr>
          <w:lang w:val="en-IE"/>
        </w:rPr>
      </w:pPr>
      <w:r w:rsidRPr="000012D9">
        <w:rPr>
          <w:rStyle w:val="FootnoteReference"/>
          <w:lang w:val="en-IE"/>
        </w:rPr>
        <w:footnoteRef/>
      </w:r>
      <w:r w:rsidRPr="000012D9">
        <w:rPr>
          <w:lang w:val="en-IE"/>
        </w:rPr>
        <w:t xml:space="preserve"> </w:t>
      </w:r>
      <w:hyperlink r:id="rId11" w:history="1">
        <w:r w:rsidRPr="000012D9">
          <w:rPr>
            <w:rStyle w:val="Hyperlink"/>
            <w:rFonts w:eastAsiaTheme="majorEastAsia"/>
            <w:lang w:val="en-IE"/>
          </w:rPr>
          <w:t>https://ec.europa.eu/digital-single-market/en/news/commission-notice-guidance-innovation-procurement-available-now-all-eu-languages</w:t>
        </w:r>
      </w:hyperlink>
      <w:r w:rsidRPr="000012D9">
        <w:rPr>
          <w:lang w:val="en-IE"/>
        </w:rPr>
        <w:t>, "Preliminary Market Consultation” section.</w:t>
      </w:r>
    </w:p>
  </w:footnote>
  <w:footnote w:id="34">
    <w:p w14:paraId="5D3B198B" w14:textId="26594FE8" w:rsidR="00756E42" w:rsidRPr="00A31CCE" w:rsidRDefault="00756E42" w:rsidP="000A5DC5">
      <w:pPr>
        <w:pStyle w:val="FootnoteText"/>
        <w:spacing w:after="0"/>
        <w:rPr>
          <w:lang w:val="en-IE"/>
        </w:rPr>
      </w:pPr>
      <w:r w:rsidRPr="000012D9">
        <w:rPr>
          <w:rStyle w:val="FootnoteReference"/>
          <w:lang w:val="en-IE"/>
        </w:rPr>
        <w:footnoteRef/>
      </w:r>
      <w:r w:rsidRPr="000012D9">
        <w:rPr>
          <w:lang w:val="en-IE"/>
        </w:rPr>
        <w:t xml:space="preserve"> The form uses Submission Terms (BG-102), including Submission URL (BT-18) and Submission Language (BT-97). When used in the context of a preliminary market notice, “answers to the preliminary market consultation” should be added to “tenders, requests to participate, or expressions of interest” in the description of these fields.  </w:t>
      </w:r>
    </w:p>
  </w:footnote>
  <w:footnote w:id="35">
    <w:p w14:paraId="2999F9DF" w14:textId="5C065516" w:rsidR="00756E42" w:rsidRPr="00A31CCE" w:rsidRDefault="00756E42" w:rsidP="00734799">
      <w:pPr>
        <w:pStyle w:val="FootnoteText"/>
        <w:spacing w:after="0"/>
        <w:rPr>
          <w:lang w:val="en-IE"/>
        </w:rPr>
      </w:pPr>
      <w:r w:rsidRPr="000012D9">
        <w:rPr>
          <w:rStyle w:val="FootnoteReference"/>
          <w:lang w:val="en-IE"/>
        </w:rPr>
        <w:footnoteRef/>
      </w:r>
      <w:r w:rsidRPr="000012D9">
        <w:rPr>
          <w:lang w:val="en-IE"/>
        </w:rPr>
        <w:t xml:space="preserve"> Technically, compared to a contract award notice, new fields in a contract completion notice are added for payment value (BT-779 &amp; BT-780) and for information about Review (BG-714) and Review Body (BG-715). Other information can be captured by reusing fields from </w:t>
      </w:r>
      <w:r>
        <w:rPr>
          <w:lang w:val="en-IE"/>
        </w:rPr>
        <w:t>contract award notices</w:t>
      </w:r>
      <w:r w:rsidRPr="000012D9">
        <w:rPr>
          <w:lang w:val="en-IE"/>
        </w:rPr>
        <w:t xml:space="preserve"> (in particular the actual Duration (BG-36) and information about subcontractors using the Subcontractor code in Organisation Role (BT-08)).</w:t>
      </w:r>
    </w:p>
  </w:footnote>
  <w:footnote w:id="36">
    <w:p w14:paraId="1F7EBF23" w14:textId="25C38B0A" w:rsidR="00756E42" w:rsidRPr="00A31CCE" w:rsidRDefault="00756E42" w:rsidP="00734799">
      <w:pPr>
        <w:pStyle w:val="FootnoteText"/>
        <w:spacing w:after="0"/>
        <w:rPr>
          <w:lang w:val="en-IE"/>
        </w:rPr>
      </w:pPr>
      <w:r w:rsidRPr="000012D9">
        <w:rPr>
          <w:rStyle w:val="FootnoteReference"/>
          <w:lang w:val="en-IE"/>
        </w:rPr>
        <w:footnoteRef/>
      </w:r>
      <w:r w:rsidRPr="000012D9">
        <w:rPr>
          <w:lang w:val="en-IE"/>
        </w:rPr>
        <w:t xml:space="preserve"> Review (BG-714) covers the review process concerning the procedure.</w:t>
      </w:r>
    </w:p>
  </w:footnote>
  <w:footnote w:id="37">
    <w:p w14:paraId="5A5274EB" w14:textId="77777777" w:rsidR="00756E42" w:rsidRPr="000012D9" w:rsidRDefault="00756E42" w:rsidP="005E549A">
      <w:pPr>
        <w:pStyle w:val="FootnoteText"/>
        <w:spacing w:after="0"/>
        <w:rPr>
          <w:lang w:val="en-IE"/>
        </w:rPr>
      </w:pPr>
      <w:r w:rsidRPr="000012D9">
        <w:rPr>
          <w:rStyle w:val="FootnoteReference"/>
          <w:lang w:val="en-IE"/>
        </w:rPr>
        <w:footnoteRef/>
      </w:r>
      <w:r w:rsidRPr="000012D9">
        <w:rPr>
          <w:lang w:val="en-IE"/>
        </w:rPr>
        <w:t xml:space="preserve"> Art. 50(4) of Directive 2014/24/EU and analogous provisions in the other Directives. </w:t>
      </w:r>
    </w:p>
  </w:footnote>
  <w:footnote w:id="38">
    <w:p w14:paraId="3AC2733E" w14:textId="77777777" w:rsidR="00756E42" w:rsidRPr="000012D9" w:rsidRDefault="00756E42" w:rsidP="005E549A">
      <w:pPr>
        <w:pStyle w:val="FootnoteText"/>
        <w:spacing w:after="0"/>
        <w:rPr>
          <w:lang w:val="en-IE"/>
        </w:rPr>
      </w:pPr>
      <w:r w:rsidRPr="000012D9">
        <w:rPr>
          <w:rStyle w:val="FootnoteReference"/>
          <w:lang w:val="en-IE"/>
        </w:rPr>
        <w:footnoteRef/>
      </w:r>
      <w:r w:rsidRPr="000012D9">
        <w:rPr>
          <w:lang w:val="en-IE"/>
        </w:rPr>
        <w:t xml:space="preserve"> </w:t>
      </w:r>
      <w:hyperlink r:id="rId12" w:history="1">
        <w:r w:rsidRPr="000012D9">
          <w:rPr>
            <w:rStyle w:val="Hyperlink"/>
            <w:lang w:val="en-IE"/>
          </w:rPr>
          <w:t>https://www.cgdev.org/publication/principles-commercial-transparency-public-contracts</w:t>
        </w:r>
      </w:hyperlink>
    </w:p>
  </w:footnote>
  <w:footnote w:id="39">
    <w:p w14:paraId="50CBDD33" w14:textId="77777777" w:rsidR="00756E42" w:rsidRPr="000012D9" w:rsidRDefault="00756E42" w:rsidP="005E549A">
      <w:pPr>
        <w:pStyle w:val="FootnoteText"/>
        <w:spacing w:after="0"/>
        <w:rPr>
          <w:lang w:val="en-IE"/>
        </w:rPr>
      </w:pPr>
      <w:r w:rsidRPr="000012D9">
        <w:rPr>
          <w:rStyle w:val="FootnoteReference"/>
          <w:lang w:val="en-IE"/>
        </w:rPr>
        <w:footnoteRef/>
      </w:r>
      <w:r w:rsidRPr="000012D9">
        <w:rPr>
          <w:lang w:val="en-IE"/>
        </w:rPr>
        <w:t xml:space="preserve"> </w:t>
      </w:r>
      <w:hyperlink r:id="rId13" w:history="1">
        <w:r w:rsidRPr="000012D9">
          <w:rPr>
            <w:rStyle w:val="Hyperlink"/>
            <w:rFonts w:eastAsiaTheme="majorEastAsia"/>
            <w:lang w:val="en-IE"/>
          </w:rPr>
          <w:t>https://www.open-contracting.org/resources/mythbusting-confidentiality-public-contracting/</w:t>
        </w:r>
      </w:hyperlink>
    </w:p>
  </w:footnote>
  <w:footnote w:id="40">
    <w:p w14:paraId="568FB516" w14:textId="48E4DD74" w:rsidR="00756E42" w:rsidRPr="00A31CCE" w:rsidRDefault="00756E42" w:rsidP="00A31CCE">
      <w:pPr>
        <w:pStyle w:val="FootnoteText"/>
        <w:spacing w:after="0"/>
        <w:rPr>
          <w:lang w:val="en-IE"/>
        </w:rPr>
      </w:pPr>
      <w:r w:rsidRPr="000012D9">
        <w:rPr>
          <w:rStyle w:val="FootnoteReference"/>
          <w:lang w:val="en-IE"/>
        </w:rPr>
        <w:footnoteRef/>
      </w:r>
      <w:r w:rsidRPr="000012D9">
        <w:rPr>
          <w:lang w:val="en-IE"/>
        </w:rPr>
        <w:t xml:space="preserve"> This can be done by removing by removing the ‘Not Immediately Published’ (BG-8) section entirely</w:t>
      </w:r>
    </w:p>
  </w:footnote>
  <w:footnote w:id="41">
    <w:p w14:paraId="5C46A151" w14:textId="77777777" w:rsidR="00756E42" w:rsidRPr="000012D9" w:rsidRDefault="00756E42" w:rsidP="005E549A">
      <w:pPr>
        <w:pStyle w:val="FootnoteText"/>
        <w:spacing w:after="0"/>
        <w:rPr>
          <w:lang w:val="en-IE"/>
        </w:rPr>
      </w:pPr>
      <w:r w:rsidRPr="000012D9">
        <w:rPr>
          <w:rStyle w:val="FootnoteReference"/>
          <w:lang w:val="en-IE"/>
        </w:rPr>
        <w:footnoteRef/>
      </w:r>
      <w:r w:rsidRPr="000012D9">
        <w:rPr>
          <w:lang w:val="en-IE"/>
        </w:rPr>
        <w:t xml:space="preserve"> See </w:t>
      </w:r>
      <w:hyperlink r:id="rId14" w:history="1">
        <w:r w:rsidRPr="000012D9">
          <w:rPr>
            <w:rStyle w:val="Hyperlink"/>
            <w:rFonts w:eastAsiaTheme="majorEastAsia"/>
            <w:lang w:val="en-IE"/>
          </w:rPr>
          <w:t>https://github.com/eForms/eForms/issues/159</w:t>
        </w:r>
      </w:hyperlink>
      <w:r w:rsidRPr="000012D9">
        <w:rPr>
          <w:lang w:val="en-IE"/>
        </w:rPr>
        <w:t xml:space="preserve"> for one of the original discussions.</w:t>
      </w:r>
    </w:p>
  </w:footnote>
  <w:footnote w:id="42">
    <w:p w14:paraId="403BDBBB" w14:textId="6A4596D1" w:rsidR="00756E42" w:rsidRPr="00A31CCE" w:rsidRDefault="00756E42">
      <w:pPr>
        <w:pStyle w:val="FootnoteText"/>
        <w:rPr>
          <w:lang w:val="en-IE"/>
        </w:rPr>
      </w:pPr>
      <w:r w:rsidRPr="000012D9">
        <w:rPr>
          <w:rStyle w:val="FootnoteReference"/>
          <w:lang w:val="en-IE"/>
        </w:rPr>
        <w:footnoteRef/>
      </w:r>
      <w:r w:rsidRPr="000012D9">
        <w:rPr>
          <w:lang w:val="en-IE"/>
        </w:rPr>
        <w:t xml:space="preserve"> The ‘Deadline Receipt Tenders’ field corresponds to BT-131 in the Annext to the eForms Regulation.</w:t>
      </w:r>
    </w:p>
  </w:footnote>
  <w:footnote w:id="43">
    <w:p w14:paraId="74588442" w14:textId="6CF849CA" w:rsidR="00756E42" w:rsidRPr="00A31CCE" w:rsidRDefault="00756E42" w:rsidP="00A31CCE">
      <w:pPr>
        <w:pStyle w:val="FootnoteText"/>
        <w:spacing w:after="0"/>
        <w:rPr>
          <w:lang w:val="en-IE"/>
        </w:rPr>
      </w:pPr>
      <w:r w:rsidRPr="000012D9">
        <w:rPr>
          <w:rStyle w:val="FootnoteReference"/>
          <w:lang w:val="en-IE"/>
        </w:rPr>
        <w:footnoteRef/>
      </w:r>
      <w:r w:rsidRPr="000012D9">
        <w:rPr>
          <w:lang w:val="en-IE"/>
        </w:rPr>
        <w:t xml:space="preserve"> The ‘Organisation identifier’ field is included in the Annex to the eForms Regulation as BT-501.</w:t>
      </w:r>
    </w:p>
  </w:footnote>
  <w:footnote w:id="44">
    <w:p w14:paraId="40A14AE9" w14:textId="515A400F" w:rsidR="00756E42" w:rsidRPr="00395F47" w:rsidRDefault="00756E42" w:rsidP="00395F47">
      <w:pPr>
        <w:pStyle w:val="FootnoteText"/>
        <w:spacing w:after="0"/>
        <w:rPr>
          <w:lang w:val="it-IT"/>
        </w:rPr>
      </w:pPr>
      <w:r>
        <w:rPr>
          <w:rStyle w:val="FootnoteReference"/>
        </w:rPr>
        <w:footnoteRef/>
      </w:r>
      <w:r>
        <w:t xml:space="preserve"> IPR aspects are currently being assessed to ensure the use of these identifier schemes.</w:t>
      </w:r>
    </w:p>
  </w:footnote>
  <w:footnote w:id="45">
    <w:p w14:paraId="1899E8F0" w14:textId="77777777" w:rsidR="00756E42" w:rsidRPr="000012D9" w:rsidRDefault="00756E42" w:rsidP="00395F47">
      <w:pPr>
        <w:pStyle w:val="FootnoteText"/>
        <w:spacing w:after="0"/>
        <w:rPr>
          <w:lang w:val="en-IE"/>
        </w:rPr>
      </w:pPr>
      <w:r w:rsidRPr="000012D9">
        <w:rPr>
          <w:rStyle w:val="FootnoteReference"/>
          <w:lang w:val="en-IE"/>
        </w:rPr>
        <w:footnoteRef/>
      </w:r>
      <w:r w:rsidRPr="000012D9">
        <w:rPr>
          <w:lang w:val="en-IE"/>
        </w:rPr>
        <w:t xml:space="preserve"> “Identifier scheme” – a source of identifiers, e.g. a business registry. </w:t>
      </w:r>
    </w:p>
  </w:footnote>
  <w:footnote w:id="46">
    <w:p w14:paraId="337CC3ED" w14:textId="2D70E0AF" w:rsidR="00756E42" w:rsidRPr="000012D9" w:rsidRDefault="00756E42" w:rsidP="00111B6A">
      <w:pPr>
        <w:pStyle w:val="FootnoteText"/>
        <w:spacing w:after="0"/>
        <w:rPr>
          <w:lang w:val="en-IE"/>
        </w:rPr>
      </w:pPr>
      <w:r w:rsidRPr="000012D9">
        <w:rPr>
          <w:rStyle w:val="FootnoteReference"/>
          <w:lang w:val="en-IE"/>
        </w:rPr>
        <w:footnoteRef/>
      </w:r>
      <w:r w:rsidRPr="000012D9">
        <w:rPr>
          <w:lang w:val="en-IE"/>
        </w:rPr>
        <w:t xml:space="preserve"> </w:t>
      </w:r>
      <w:hyperlink r:id="rId15" w:history="1">
        <w:r w:rsidRPr="000012D9">
          <w:rPr>
            <w:rStyle w:val="Hyperlink"/>
            <w:rFonts w:eastAsiaTheme="majorEastAsia"/>
            <w:lang w:val="en-IE"/>
          </w:rPr>
          <w:t>https://www.iso.org/standard/25774.html</w:t>
        </w:r>
      </w:hyperlink>
    </w:p>
  </w:footnote>
  <w:footnote w:id="47">
    <w:p w14:paraId="6CFE8AF1" w14:textId="77777777" w:rsidR="00756E42" w:rsidRPr="000012D9" w:rsidRDefault="00756E42" w:rsidP="00111B6A">
      <w:pPr>
        <w:pStyle w:val="FootnoteText"/>
        <w:spacing w:after="0"/>
        <w:rPr>
          <w:lang w:val="en-IE"/>
        </w:rPr>
      </w:pPr>
      <w:r w:rsidRPr="000012D9">
        <w:rPr>
          <w:rStyle w:val="FootnoteReference"/>
          <w:lang w:val="en-IE"/>
        </w:rPr>
        <w:footnoteRef/>
      </w:r>
      <w:r w:rsidRPr="000012D9">
        <w:rPr>
          <w:lang w:val="en-IE"/>
        </w:rPr>
        <w:t> </w:t>
      </w:r>
      <w:hyperlink r:id="rId16" w:anchor="Codelists-1ElectronicAddressSchemecodelist(EAS)" w:history="1">
        <w:r w:rsidRPr="000012D9">
          <w:rPr>
            <w:rStyle w:val="Hyperlink"/>
            <w:rFonts w:eastAsiaTheme="majorEastAsia"/>
            <w:lang w:val="en-IE"/>
          </w:rPr>
          <w:t>https://ec.europa.eu/cefdigital/wiki/display/CEFDIGITAL/Code+lists#Codelists-1ElectronicAddressSchemecodelist(EAS)</w:t>
        </w:r>
      </w:hyperlink>
    </w:p>
  </w:footnote>
  <w:footnote w:id="48">
    <w:p w14:paraId="53D41202" w14:textId="77777777" w:rsidR="00756E42" w:rsidRPr="000012D9" w:rsidRDefault="00756E42" w:rsidP="00111B6A">
      <w:pPr>
        <w:pStyle w:val="FootnoteText"/>
        <w:spacing w:after="0"/>
        <w:rPr>
          <w:lang w:val="en-IE"/>
        </w:rPr>
      </w:pPr>
      <w:r w:rsidRPr="000012D9">
        <w:rPr>
          <w:rStyle w:val="FootnoteReference"/>
          <w:lang w:val="en-IE"/>
        </w:rPr>
        <w:footnoteRef/>
      </w:r>
      <w:r w:rsidRPr="000012D9">
        <w:rPr>
          <w:lang w:val="en-IE"/>
        </w:rPr>
        <w:t xml:space="preserve"> </w:t>
      </w:r>
      <w:hyperlink r:id="rId17" w:history="1">
        <w:r w:rsidRPr="000012D9">
          <w:rPr>
            <w:rStyle w:val="Hyperlink"/>
            <w:rFonts w:eastAsiaTheme="majorEastAsia"/>
            <w:lang w:val="en-IE"/>
          </w:rPr>
          <w:t>https://www.gleif.org/en/about-lei/introducing-the-legal-entity-identifier-lei</w:t>
        </w:r>
      </w:hyperlink>
    </w:p>
  </w:footnote>
  <w:footnote w:id="49">
    <w:p w14:paraId="06E36D68" w14:textId="5DEE488E" w:rsidR="00756E42" w:rsidRPr="00A31CCE" w:rsidRDefault="00756E42" w:rsidP="00A31CCE">
      <w:pPr>
        <w:pStyle w:val="FootnoteText"/>
        <w:spacing w:after="0"/>
        <w:rPr>
          <w:lang w:val="en-IE"/>
        </w:rPr>
      </w:pPr>
      <w:r w:rsidRPr="000012D9">
        <w:rPr>
          <w:rStyle w:val="FootnoteReference"/>
          <w:lang w:val="en-IE"/>
        </w:rPr>
        <w:footnoteRef/>
      </w:r>
      <w:r w:rsidRPr="000012D9">
        <w:rPr>
          <w:lang w:val="en-IE"/>
        </w:rPr>
        <w:t xml:space="preserve"> It is included in the Annex to the eForms Regulation as  BT-5011.</w:t>
      </w:r>
    </w:p>
  </w:footnote>
  <w:footnote w:id="50">
    <w:p w14:paraId="70B251F9" w14:textId="104CA663" w:rsidR="00756E42" w:rsidRPr="00A31CCE" w:rsidRDefault="00756E42" w:rsidP="00A31CCE">
      <w:pPr>
        <w:pStyle w:val="FootnoteText"/>
        <w:spacing w:after="0"/>
        <w:rPr>
          <w:lang w:val="en-IE"/>
        </w:rPr>
      </w:pPr>
      <w:r w:rsidRPr="000012D9">
        <w:rPr>
          <w:rStyle w:val="FootnoteReference"/>
          <w:lang w:val="en-IE"/>
        </w:rPr>
        <w:footnoteRef/>
      </w:r>
      <w:r w:rsidRPr="000012D9">
        <w:rPr>
          <w:lang w:val="en-IE"/>
        </w:rPr>
        <w:t xml:space="preserve"> It is included in the Annex to the eForms Regulation as BT-722</w:t>
      </w:r>
    </w:p>
  </w:footnote>
  <w:footnote w:id="51">
    <w:p w14:paraId="3F1575C0" w14:textId="0E732B29" w:rsidR="00756E42" w:rsidRPr="000012D9" w:rsidRDefault="00756E42" w:rsidP="00047A95">
      <w:pPr>
        <w:pStyle w:val="FootnoteText"/>
        <w:spacing w:after="0"/>
        <w:rPr>
          <w:lang w:val="en-IE"/>
        </w:rPr>
      </w:pPr>
      <w:r w:rsidRPr="000012D9">
        <w:rPr>
          <w:rStyle w:val="FootnoteReference"/>
          <w:lang w:val="en-IE"/>
        </w:rPr>
        <w:footnoteRef/>
      </w:r>
      <w:r w:rsidRPr="000012D9">
        <w:rPr>
          <w:lang w:val="en-IE"/>
        </w:rPr>
        <w:t xml:space="preserve"> The structure of CCI is explained at </w:t>
      </w:r>
      <w:hyperlink r:id="rId18" w:history="1">
        <w:r w:rsidRPr="000012D9">
          <w:rPr>
            <w:rStyle w:val="Hyperlink"/>
            <w:rFonts w:eastAsiaTheme="majorEastAsia"/>
            <w:lang w:val="en-IE"/>
          </w:rPr>
          <w:t>https://ec.europa.eu/sfc/en/2014/support-ms/gen/faq/what-does-cci-code-stand</w:t>
        </w:r>
      </w:hyperlink>
      <w:r w:rsidRPr="000012D9">
        <w:rPr>
          <w:lang w:val="en-IE"/>
        </w:rPr>
        <w:t xml:space="preserve">, the list of identifiers is available at </w:t>
      </w:r>
      <w:hyperlink r:id="rId19" w:history="1">
        <w:r w:rsidRPr="000012D9">
          <w:rPr>
            <w:rStyle w:val="Hyperlink"/>
            <w:lang w:val="en-IE"/>
          </w:rPr>
          <w:t>https://cohesiondata.ec.europa.eu/2014-2020/ESIF-2014-20-Programme-list-CCI-FUND/igzp-yde2/data</w:t>
        </w:r>
      </w:hyperlink>
      <w:r w:rsidRPr="000012D9">
        <w:rPr>
          <w:color w:val="1F497D"/>
          <w:lang w:val="en-IE"/>
        </w:rPr>
        <w:t xml:space="preserve">. </w:t>
      </w:r>
    </w:p>
  </w:footnote>
  <w:footnote w:id="52">
    <w:p w14:paraId="7EBED96B" w14:textId="2F49CBF2" w:rsidR="00756E42" w:rsidRPr="000012D9" w:rsidRDefault="00756E42" w:rsidP="00137CFE">
      <w:pPr>
        <w:pStyle w:val="FootnoteText"/>
        <w:spacing w:after="0"/>
        <w:rPr>
          <w:lang w:val="en-IE"/>
        </w:rPr>
      </w:pPr>
      <w:r w:rsidRPr="000012D9">
        <w:rPr>
          <w:rStyle w:val="FootnoteReference"/>
          <w:lang w:val="en-IE"/>
        </w:rPr>
        <w:footnoteRef/>
      </w:r>
      <w:r w:rsidRPr="000012D9">
        <w:rPr>
          <w:lang w:val="en-IE"/>
        </w:rPr>
        <w:t xml:space="preserve"> It is included in the in the Annex to the eForms Regulation as  BT-11. </w:t>
      </w:r>
    </w:p>
  </w:footnote>
  <w:footnote w:id="53">
    <w:p w14:paraId="4E63E746" w14:textId="1B2D79C1" w:rsidR="00756E42" w:rsidRPr="000012D9" w:rsidRDefault="00756E42" w:rsidP="00137CFE">
      <w:pPr>
        <w:pStyle w:val="FootnoteText"/>
        <w:spacing w:after="0"/>
        <w:rPr>
          <w:lang w:val="en-IE"/>
        </w:rPr>
      </w:pPr>
      <w:r w:rsidRPr="000012D9">
        <w:rPr>
          <w:rStyle w:val="FootnoteReference"/>
          <w:lang w:val="en-IE"/>
        </w:rPr>
        <w:footnoteRef/>
      </w:r>
      <w:r w:rsidRPr="000012D9">
        <w:rPr>
          <w:lang w:val="en-IE"/>
        </w:rPr>
        <w:t xml:space="preserve"> In the spreadsheet version of Table 2 of the eForms Regulation, these fields are marked as “EM” – mandatory, if it exists. </w:t>
      </w:r>
    </w:p>
  </w:footnote>
  <w:footnote w:id="54">
    <w:p w14:paraId="22B0A346" w14:textId="4CAE52F2" w:rsidR="00756E42" w:rsidRPr="00F763E2" w:rsidRDefault="00756E42" w:rsidP="00EB186D">
      <w:pPr>
        <w:pStyle w:val="FootnoteText"/>
        <w:spacing w:after="0"/>
      </w:pPr>
      <w:r>
        <w:rPr>
          <w:rStyle w:val="FootnoteReference"/>
        </w:rPr>
        <w:footnoteRef/>
      </w:r>
      <w:r>
        <w:t xml:space="preserve"> </w:t>
      </w:r>
      <w:r w:rsidRPr="00F37725">
        <w:t>It is included in the in the Annex t</w:t>
      </w:r>
      <w:r>
        <w:t>o the eForms Regulation as BT-510.</w:t>
      </w:r>
    </w:p>
  </w:footnote>
  <w:footnote w:id="55">
    <w:p w14:paraId="1560402E" w14:textId="74B9DBD8" w:rsidR="00756E42" w:rsidRPr="000012D9" w:rsidRDefault="00756E42" w:rsidP="00137CFE">
      <w:pPr>
        <w:pStyle w:val="FootnoteText"/>
        <w:spacing w:after="0"/>
        <w:rPr>
          <w:lang w:val="en-IE"/>
        </w:rPr>
      </w:pPr>
      <w:r w:rsidRPr="000012D9">
        <w:rPr>
          <w:rStyle w:val="FootnoteReference"/>
          <w:lang w:val="en-IE"/>
        </w:rPr>
        <w:footnoteRef/>
      </w:r>
      <w:r w:rsidRPr="000012D9">
        <w:rPr>
          <w:lang w:val="en-IE"/>
        </w:rPr>
        <w:t xml:space="preserve"> The business rule can also specify that this information is mandatory only for a certain Organisation Role (BT-8), e.g. buyer or contractor. </w:t>
      </w:r>
    </w:p>
  </w:footnote>
  <w:footnote w:id="56">
    <w:p w14:paraId="11A1AAA0" w14:textId="3FA2C16C" w:rsidR="00756E42" w:rsidRPr="00A31CCE" w:rsidRDefault="00756E42" w:rsidP="00137CFE">
      <w:pPr>
        <w:pStyle w:val="FootnoteText"/>
        <w:spacing w:after="0"/>
        <w:rPr>
          <w:lang w:val="en-IE"/>
        </w:rPr>
      </w:pPr>
      <w:r w:rsidRPr="000012D9">
        <w:rPr>
          <w:rStyle w:val="FootnoteReference"/>
          <w:lang w:val="en-IE"/>
        </w:rPr>
        <w:footnoteRef/>
      </w:r>
      <w:r w:rsidRPr="000012D9">
        <w:rPr>
          <w:lang w:val="en-IE"/>
        </w:rPr>
        <w:t xml:space="preserve"> For example, as discussed in Annex I, some countries may require fields such as Organisation Contact Telephone Number (BT-510) or Organisation Internet Address (BT-505) as mandatory</w:t>
      </w:r>
      <w:r>
        <w:rPr>
          <w:lang w:val="en-IE"/>
        </w:rPr>
        <w:t>.</w:t>
      </w:r>
    </w:p>
  </w:footnote>
  <w:footnote w:id="57">
    <w:p w14:paraId="39B912D5" w14:textId="77777777" w:rsidR="00756E42" w:rsidRPr="005618A7" w:rsidRDefault="00756E42" w:rsidP="00760E39">
      <w:pPr>
        <w:pStyle w:val="FootnoteText"/>
        <w:spacing w:after="0"/>
      </w:pPr>
      <w:r>
        <w:rPr>
          <w:rStyle w:val="FootnoteReference"/>
        </w:rPr>
        <w:footnoteRef/>
      </w:r>
      <w:r>
        <w:t xml:space="preserve"> Typically</w:t>
      </w:r>
      <w:r>
        <w:rPr>
          <w:lang w:val="en-IE"/>
        </w:rPr>
        <w:t xml:space="preserve"> from existing data to forms, but, hypothetically, this could also happen in the other direction.</w:t>
      </w:r>
    </w:p>
  </w:footnote>
  <w:footnote w:id="58">
    <w:p w14:paraId="0C144508" w14:textId="77777777" w:rsidR="00756E42" w:rsidRPr="000F4997" w:rsidRDefault="00756E42" w:rsidP="00760E39">
      <w:pPr>
        <w:pStyle w:val="FootnoteText"/>
        <w:spacing w:after="0"/>
        <w:rPr>
          <w:lang w:val="en-US"/>
        </w:rPr>
      </w:pPr>
      <w:r>
        <w:rPr>
          <w:rStyle w:val="FootnoteReference"/>
        </w:rPr>
        <w:footnoteRef/>
      </w:r>
      <w:r>
        <w:t xml:space="preserve"> </w:t>
      </w:r>
      <w:hyperlink r:id="rId20" w:history="1">
        <w:r>
          <w:rPr>
            <w:rStyle w:val="Hyperlink"/>
            <w:rFonts w:eastAsiaTheme="majorEastAsia"/>
          </w:rPr>
          <w:t>https://ec.europa.eu/cefdigital/wiki/display/CEFDIGITAL/Once+Only+Principle</w:t>
        </w:r>
      </w:hyperlink>
    </w:p>
  </w:footnote>
  <w:footnote w:id="59">
    <w:p w14:paraId="273A36C7" w14:textId="77777777" w:rsidR="00756E42" w:rsidRPr="00C8121D" w:rsidRDefault="00756E42" w:rsidP="003E2C50">
      <w:pPr>
        <w:pStyle w:val="FootnoteText"/>
      </w:pPr>
      <w:r>
        <w:rPr>
          <w:rStyle w:val="FootnoteReference"/>
        </w:rPr>
        <w:footnoteRef/>
      </w:r>
      <w:r>
        <w:t xml:space="preserve"> Sometimes also called eTendering systems. </w:t>
      </w:r>
    </w:p>
  </w:footnote>
  <w:footnote w:id="60">
    <w:p w14:paraId="1B13EC1F" w14:textId="797820D6" w:rsidR="00756E42" w:rsidRPr="00856AE4" w:rsidRDefault="00756E42" w:rsidP="004A0C5B">
      <w:pPr>
        <w:pStyle w:val="FootnoteText"/>
        <w:spacing w:after="0"/>
      </w:pPr>
      <w:r>
        <w:rPr>
          <w:rStyle w:val="FootnoteReference"/>
        </w:rPr>
        <w:footnoteRef/>
      </w:r>
      <w:r>
        <w:t xml:space="preserve"> </w:t>
      </w:r>
      <w:r w:rsidRPr="00095352">
        <w:rPr>
          <w:rStyle w:val="Hyperlink"/>
          <w:rFonts w:eastAsiaTheme="majorEastAsia"/>
        </w:rPr>
        <w:t>https://github.com/eprocurementontology/eprocurementontology/wiki</w:t>
      </w:r>
    </w:p>
  </w:footnote>
  <w:footnote w:id="61">
    <w:p w14:paraId="0123B169" w14:textId="69C1BDC2" w:rsidR="00D46853" w:rsidRPr="00C45F03" w:rsidRDefault="00D46853" w:rsidP="00C45F03">
      <w:pPr>
        <w:pStyle w:val="FootnoteText"/>
        <w:spacing w:after="0"/>
        <w:rPr>
          <w:lang w:val="it-IT"/>
        </w:rPr>
      </w:pPr>
      <w:r>
        <w:rPr>
          <w:rStyle w:val="FootnoteReference"/>
        </w:rPr>
        <w:footnoteRef/>
      </w:r>
      <w:r>
        <w:t xml:space="preserve"> </w:t>
      </w:r>
      <w:r w:rsidRPr="00D46853">
        <w:t>https://ec.europa.eu/growth/single-market/public-procurement/digital/espd_en</w:t>
      </w:r>
    </w:p>
  </w:footnote>
  <w:footnote w:id="62">
    <w:p w14:paraId="1A52B9F2" w14:textId="0507B23B" w:rsidR="00D46853" w:rsidRPr="00C45F03" w:rsidRDefault="00D46853" w:rsidP="00C45F03">
      <w:pPr>
        <w:pStyle w:val="FootnoteText"/>
        <w:spacing w:after="0"/>
        <w:rPr>
          <w:lang w:val="it-IT"/>
        </w:rPr>
      </w:pPr>
      <w:r>
        <w:rPr>
          <w:rStyle w:val="FootnoteReference"/>
        </w:rPr>
        <w:footnoteRef/>
      </w:r>
      <w:r>
        <w:t xml:space="preserve"> </w:t>
      </w:r>
      <w:r>
        <w:rPr>
          <w:lang w:val="it-IT"/>
        </w:rPr>
        <w:t>Source: DG GROW eProcurement matrix, as of July 2019.</w:t>
      </w:r>
    </w:p>
  </w:footnote>
  <w:footnote w:id="63">
    <w:p w14:paraId="2354401F" w14:textId="04B34021" w:rsidR="00D46853" w:rsidRPr="00C45F03" w:rsidRDefault="00D46853" w:rsidP="00C45F03">
      <w:pPr>
        <w:pStyle w:val="FootnoteText"/>
        <w:spacing w:after="0"/>
        <w:rPr>
          <w:lang w:val="it-IT"/>
        </w:rPr>
      </w:pPr>
      <w:r>
        <w:rPr>
          <w:rStyle w:val="FootnoteReference"/>
        </w:rPr>
        <w:footnoteRef/>
      </w:r>
      <w:r>
        <w:t xml:space="preserve"> </w:t>
      </w:r>
      <w:r w:rsidRPr="00D46853">
        <w:t>BG-701 and BG-702</w:t>
      </w:r>
    </w:p>
  </w:footnote>
  <w:footnote w:id="64">
    <w:p w14:paraId="4BA156AF" w14:textId="613F4609" w:rsidR="00756E42" w:rsidRPr="00421287" w:rsidRDefault="00756E42" w:rsidP="00EB186D">
      <w:pPr>
        <w:pStyle w:val="FootnoteText"/>
        <w:spacing w:after="0"/>
        <w:rPr>
          <w:lang w:val="cs-CZ"/>
        </w:rPr>
      </w:pPr>
      <w:r>
        <w:rPr>
          <w:rStyle w:val="FootnoteReference"/>
        </w:rPr>
        <w:footnoteRef/>
      </w:r>
      <w:r>
        <w:t xml:space="preserve"> </w:t>
      </w:r>
      <w:r w:rsidRPr="00913D72">
        <w:t>https://ec.europa.eu/cefdigital/wiki/display/CEFDIGITAL/Compliance+with+eInvoicing+standard</w:t>
      </w:r>
      <w:r w:rsidDel="00913D72">
        <w:t xml:space="preserve"> </w:t>
      </w:r>
    </w:p>
  </w:footnote>
  <w:footnote w:id="65">
    <w:p w14:paraId="078750F8" w14:textId="77777777" w:rsidR="00756E42" w:rsidRPr="0064576A" w:rsidRDefault="00756E42" w:rsidP="00EB186D">
      <w:pPr>
        <w:pStyle w:val="FootnoteText"/>
        <w:spacing w:after="0"/>
      </w:pPr>
      <w:r>
        <w:rPr>
          <w:rStyle w:val="FootnoteReference"/>
        </w:rPr>
        <w:footnoteRef/>
      </w:r>
      <w:r>
        <w:t xml:space="preserve"> Especially Organisation Role (BT-08) and Organisation Subrole (BT-770).</w:t>
      </w:r>
    </w:p>
  </w:footnote>
  <w:footnote w:id="66">
    <w:p w14:paraId="6D39E1F4" w14:textId="77777777" w:rsidR="00756E42" w:rsidRPr="00C86AE9" w:rsidRDefault="00756E42" w:rsidP="005C05DD">
      <w:pPr>
        <w:pStyle w:val="FootnoteText"/>
        <w:spacing w:after="0"/>
      </w:pPr>
      <w:r>
        <w:rPr>
          <w:rStyle w:val="FootnoteReference"/>
        </w:rPr>
        <w:footnoteRef/>
      </w:r>
      <w:r>
        <w:t xml:space="preserve"> </w:t>
      </w:r>
      <w:r>
        <w:rPr>
          <w:lang w:val="en-IE"/>
        </w:rPr>
        <w:t>Most fields in Purpose (BG-2), Place of Performance (BG-708), Duration (BG-36), Procedure (BG-6), Other Requirements (BG-705), Contract Terms (BG-711), Award Criteria (BG-707), Techniques (Bg-706), Communication (BG-100), Procurement Documents (BG-101) and Submission Terms (BG-102).</w:t>
      </w:r>
    </w:p>
  </w:footnote>
  <w:footnote w:id="67">
    <w:p w14:paraId="609E3FC1" w14:textId="77777777" w:rsidR="00756E42" w:rsidRPr="00670451" w:rsidRDefault="00756E42" w:rsidP="00082D21">
      <w:pPr>
        <w:pStyle w:val="FootnoteText"/>
        <w:spacing w:after="0"/>
      </w:pPr>
      <w:r>
        <w:rPr>
          <w:rStyle w:val="FootnoteReference"/>
        </w:rPr>
        <w:footnoteRef/>
      </w:r>
      <w:r>
        <w:t xml:space="preserve"> Art. 84 of Directive 2014/24/EU and corresponding articles in the other directives. </w:t>
      </w:r>
    </w:p>
  </w:footnote>
  <w:footnote w:id="68">
    <w:p w14:paraId="3200C188" w14:textId="77777777" w:rsidR="00756E42" w:rsidRPr="00395290" w:rsidRDefault="00756E42" w:rsidP="00760E39">
      <w:pPr>
        <w:pStyle w:val="FootnoteText"/>
        <w:spacing w:after="0"/>
        <w:rPr>
          <w:lang w:val="en-US"/>
        </w:rPr>
      </w:pPr>
      <w:r>
        <w:rPr>
          <w:rStyle w:val="FootnoteReference"/>
        </w:rPr>
        <w:footnoteRef/>
      </w:r>
      <w:r>
        <w:t xml:space="preserve"> </w:t>
      </w:r>
      <w:r>
        <w:rPr>
          <w:lang w:val="en-US"/>
        </w:rPr>
        <w:t>In the consolidated version of the Anti-Money Laundering Directive (</w:t>
      </w:r>
      <w:hyperlink r:id="rId21" w:history="1">
        <w:r w:rsidRPr="0017165F">
          <w:rPr>
            <w:rStyle w:val="Hyperlink"/>
            <w:lang w:val="en-US"/>
          </w:rPr>
          <w:t>https://eur-lex.europa.eu/legal-content/EN/TXT/PDF/?uri=CELEX:02015L0849-20180709</w:t>
        </w:r>
      </w:hyperlink>
      <w:r>
        <w:rPr>
          <w:lang w:val="en-US"/>
        </w:rPr>
        <w:t>), b</w:t>
      </w:r>
      <w:r w:rsidRPr="00395290">
        <w:rPr>
          <w:lang w:val="en-US"/>
        </w:rPr>
        <w:t>eneficiary owners are defined in Art. 3(6)</w:t>
      </w:r>
      <w:r>
        <w:rPr>
          <w:lang w:val="en-US"/>
        </w:rPr>
        <w:t>, t</w:t>
      </w:r>
      <w:r w:rsidRPr="00395290">
        <w:rPr>
          <w:lang w:val="en-US"/>
        </w:rPr>
        <w:t>he registers are established in Art. 30(3)</w:t>
      </w:r>
      <w:r>
        <w:rPr>
          <w:lang w:val="en-US"/>
        </w:rPr>
        <w:t>, and i</w:t>
      </w:r>
      <w:r w:rsidRPr="00395290">
        <w:rPr>
          <w:lang w:val="en-US"/>
        </w:rPr>
        <w:t>nformation to be made publicly available is established in Art. 30(5)</w:t>
      </w:r>
      <w:r>
        <w:rPr>
          <w:lang w:val="en-US"/>
        </w:rPr>
        <w:t xml:space="preserve">. </w:t>
      </w:r>
    </w:p>
  </w:footnote>
  <w:footnote w:id="69">
    <w:p w14:paraId="555F81AE" w14:textId="03A3E49B" w:rsidR="00756E42" w:rsidRPr="005C05DD" w:rsidRDefault="00756E42">
      <w:pPr>
        <w:pStyle w:val="FootnoteText"/>
        <w:rPr>
          <w:lang w:val="it-IT"/>
        </w:rPr>
      </w:pPr>
      <w:r>
        <w:rPr>
          <w:rStyle w:val="FootnoteReference"/>
        </w:rPr>
        <w:footnoteRef/>
      </w:r>
      <w:r>
        <w:t xml:space="preserve"> </w:t>
      </w:r>
      <w:r w:rsidRPr="007911B9">
        <w:t>Directive (EU) 2018/843 of the European Parliament and of the Council of 30 May 2018 amending Directive (EU) 2015/849 on the prevention of the use of the financial system for the purposes of money laundering or terrorist financing, and amending Directives 2009/138/EC and 2013/36/E</w:t>
      </w:r>
      <w:r>
        <w:t>U. (</w:t>
      </w:r>
      <w:r w:rsidRPr="007911B9">
        <w:t>https://eur-lex.europa.eu/legal-content/EN/TXT/?uri=CELEX%3A32018L0843</w:t>
      </w:r>
      <w:r>
        <w:t>)</w:t>
      </w:r>
    </w:p>
  </w:footnote>
  <w:footnote w:id="70">
    <w:p w14:paraId="3FFEF93B" w14:textId="1BCD28C6" w:rsidR="00756E42" w:rsidRPr="00963B98" w:rsidRDefault="00756E42" w:rsidP="00963B98">
      <w:pPr>
        <w:pStyle w:val="FootnoteText"/>
        <w:spacing w:after="0"/>
        <w:jc w:val="left"/>
        <w:rPr>
          <w:lang w:val="en-US"/>
        </w:rPr>
      </w:pPr>
      <w:r>
        <w:rPr>
          <w:rStyle w:val="FootnoteReference"/>
        </w:rPr>
        <w:footnoteRef/>
      </w:r>
      <w:r w:rsidRPr="00963B98">
        <w:rPr>
          <w:lang w:val="en-US"/>
        </w:rPr>
        <w:t xml:space="preserve"> The presentation of the action is available on the </w:t>
      </w:r>
      <w:r>
        <w:rPr>
          <w:lang w:val="en-US"/>
        </w:rPr>
        <w:t xml:space="preserve">DG GROW </w:t>
      </w:r>
      <w:r w:rsidRPr="00963B98">
        <w:rPr>
          <w:lang w:val="en-US"/>
        </w:rPr>
        <w:t>eProcurement wiki: https://webgate.ec.europa.eu/fpfis/wikis/download/attachments/416225685/eProcurement_Analytics_EXEP_20191114.pdf?version=1&amp;modificationDate=1573807144278&amp;api=v2</w:t>
      </w:r>
    </w:p>
  </w:footnote>
  <w:footnote w:id="71">
    <w:p w14:paraId="7151AE73" w14:textId="7E089577" w:rsidR="00756E42" w:rsidRPr="00963B98" w:rsidRDefault="00756E42" w:rsidP="00963B98">
      <w:pPr>
        <w:pStyle w:val="FootnoteText"/>
        <w:spacing w:after="0"/>
        <w:rPr>
          <w:lang w:val="fr-BE"/>
        </w:rPr>
      </w:pPr>
      <w:r>
        <w:rPr>
          <w:rStyle w:val="FootnoteReference"/>
        </w:rPr>
        <w:footnoteRef/>
      </w:r>
      <w:r w:rsidRPr="00963B98">
        <w:rPr>
          <w:lang w:val="fr-BE"/>
        </w:rPr>
        <w:t xml:space="preserve"> Source: DG GROW eProcurement Matrix, 2019.</w:t>
      </w:r>
    </w:p>
  </w:footnote>
  <w:footnote w:id="72">
    <w:p w14:paraId="038220B7" w14:textId="1EC7393D" w:rsidR="00756E42" w:rsidRPr="00963B98" w:rsidRDefault="00756E42" w:rsidP="00963B98">
      <w:pPr>
        <w:pStyle w:val="FootnoteText"/>
        <w:spacing w:after="0"/>
        <w:rPr>
          <w:lang w:val="en-US"/>
        </w:rPr>
      </w:pPr>
      <w:r>
        <w:rPr>
          <w:rStyle w:val="FootnoteReference"/>
        </w:rPr>
        <w:footnoteRef/>
      </w:r>
      <w:r>
        <w:t xml:space="preserve"> </w:t>
      </w:r>
      <w:r w:rsidRPr="00996E64">
        <w:t>When republishing from another country, publishers must ensure that they do not delete relevant information (ie requirements specific to the originating country that are not required in the publishing country</w:t>
      </w:r>
      <w:r>
        <w:t>).</w:t>
      </w:r>
    </w:p>
  </w:footnote>
  <w:footnote w:id="73">
    <w:p w14:paraId="2A8F5CD4" w14:textId="0AE33427" w:rsidR="00756E42" w:rsidRPr="00963B98" w:rsidRDefault="00756E42" w:rsidP="00A42F8C">
      <w:pPr>
        <w:pStyle w:val="FootnoteText"/>
        <w:spacing w:after="0"/>
        <w:rPr>
          <w:lang w:val="en-US"/>
        </w:rPr>
      </w:pPr>
      <w:r>
        <w:rPr>
          <w:rStyle w:val="FootnoteReference"/>
        </w:rPr>
        <w:footnoteRef/>
      </w:r>
      <w:r>
        <w:t xml:space="preserve"> However, notices from Member State</w:t>
      </w:r>
      <w:r w:rsidRPr="00794794">
        <w:t>s are published only in the language(s) of the notice as it was sent. Then an automatic translation can be requested on TED, but the same functionality could be developed on a national or local portal</w:t>
      </w:r>
    </w:p>
  </w:footnote>
  <w:footnote w:id="74">
    <w:p w14:paraId="2AF69641" w14:textId="62C275E5" w:rsidR="00756E42" w:rsidRPr="006C3673" w:rsidRDefault="00756E42" w:rsidP="009B198C">
      <w:pPr>
        <w:pStyle w:val="FootnoteText"/>
        <w:spacing w:after="0"/>
      </w:pPr>
      <w:r>
        <w:rPr>
          <w:rStyle w:val="FootnoteReference"/>
        </w:rPr>
        <w:footnoteRef/>
      </w:r>
      <w:r>
        <w:t xml:space="preserve"> The cost of publication of notices in TED is borne by the EU budget.</w:t>
      </w:r>
    </w:p>
  </w:footnote>
  <w:footnote w:id="75">
    <w:p w14:paraId="31590497" w14:textId="77777777" w:rsidR="00756E42" w:rsidRPr="00A074A9" w:rsidRDefault="00756E42" w:rsidP="00A42F8C">
      <w:pPr>
        <w:pStyle w:val="FootnoteText"/>
        <w:spacing w:after="0"/>
      </w:pPr>
      <w:r>
        <w:rPr>
          <w:rStyle w:val="FootnoteReference"/>
        </w:rPr>
        <w:footnoteRef/>
      </w:r>
      <w:r>
        <w:t xml:space="preserve"> For example, part of the payment for an eSender to publish a notice could come from the buyer and part from the procurement regulator and depend on the amount of relevant fields filled in. The double incentive of low administrative burden leading to more buyer customers and higher information content leading to additional payment from governments could, theoretically and if well designed, incentivize eSenders to connect to external databases and come up with innovations meeting these two objectives. However, designing such an incentive system, with appropriate level of payments to meet all goals and to avoid gaming of the system by eSenders, seems very difficult. </w:t>
      </w:r>
    </w:p>
  </w:footnote>
  <w:footnote w:id="76">
    <w:p w14:paraId="3F11EAE0" w14:textId="4D88D36E" w:rsidR="00756E42" w:rsidRDefault="00756E42" w:rsidP="00760E39">
      <w:pPr>
        <w:rPr>
          <w:rFonts w:ascii="Times New Roman" w:hAnsi="Times New Roman" w:cs="Times New Roman"/>
          <w:sz w:val="20"/>
          <w:szCs w:val="20"/>
        </w:rPr>
      </w:pPr>
      <w:r>
        <w:rPr>
          <w:rStyle w:val="FootnoteReference"/>
        </w:rPr>
        <w:footnoteRef/>
      </w:r>
      <w:r>
        <w:t xml:space="preserve"> </w:t>
      </w:r>
      <w:r w:rsidRPr="005A056F">
        <w:rPr>
          <w:rFonts w:ascii="Times New Roman" w:hAnsi="Times New Roman" w:cs="Times New Roman"/>
          <w:sz w:val="20"/>
          <w:szCs w:val="20"/>
        </w:rPr>
        <w:t>E.g. Guidelines on Procuring IT Solutions, European Commission 2015</w:t>
      </w:r>
      <w:r>
        <w:rPr>
          <w:rFonts w:ascii="Times New Roman" w:hAnsi="Times New Roman" w:cs="Times New Roman"/>
          <w:sz w:val="20"/>
          <w:szCs w:val="20"/>
        </w:rPr>
        <w:t xml:space="preserve">, available at </w:t>
      </w:r>
      <w:hyperlink r:id="rId22" w:history="1">
        <w:r w:rsidRPr="005A056F">
          <w:rPr>
            <w:rStyle w:val="Hyperlink"/>
            <w:rFonts w:ascii="Times New Roman" w:eastAsiaTheme="majorEastAsia" w:hAnsi="Times New Roman" w:cs="Times New Roman"/>
            <w:sz w:val="20"/>
            <w:szCs w:val="20"/>
          </w:rPr>
          <w:t>https://joinup.ec.europa.eu/sites/default/files/document/2015-03/guideline_on_procuring_it_solutions_-_v1_00.pdf</w:t>
        </w:r>
      </w:hyperlink>
      <w:r w:rsidRPr="005A056F">
        <w:rPr>
          <w:rFonts w:ascii="Times New Roman" w:hAnsi="Times New Roman" w:cs="Times New Roman"/>
          <w:sz w:val="20"/>
          <w:szCs w:val="20"/>
        </w:rPr>
        <w:t xml:space="preserve">; the ICT Commissioning Handbook available at </w:t>
      </w:r>
      <w:hyperlink r:id="rId23" w:history="1">
        <w:r w:rsidRPr="005A056F">
          <w:rPr>
            <w:rStyle w:val="Hyperlink"/>
            <w:rFonts w:ascii="Times New Roman" w:hAnsi="Times New Roman" w:cs="Times New Roman"/>
            <w:sz w:val="20"/>
            <w:szCs w:val="20"/>
          </w:rPr>
          <w:t>https://playbook-ict-procurement.herokuapp.com/</w:t>
        </w:r>
      </w:hyperlink>
    </w:p>
    <w:p w14:paraId="6C26F728" w14:textId="362CE74B" w:rsidR="00756E42" w:rsidRDefault="00756E42" w:rsidP="00EB186D">
      <w:pPr>
        <w:pStyle w:val="Collega"/>
        <w:rPr>
          <w:rStyle w:val="Hyperlink"/>
          <w:sz w:val="20"/>
          <w:szCs w:val="20"/>
        </w:rPr>
      </w:pPr>
      <w:r w:rsidRPr="00291E03">
        <w:rPr>
          <w:rStyle w:val="Hyperlink"/>
          <w:sz w:val="20"/>
          <w:szCs w:val="20"/>
        </w:rPr>
        <w:t>Open Standards for ICT Procurement</w:t>
      </w:r>
      <w:r>
        <w:rPr>
          <w:rStyle w:val="Hyperlink"/>
          <w:sz w:val="20"/>
          <w:szCs w:val="20"/>
        </w:rPr>
        <w:t>, available at:</w:t>
      </w:r>
    </w:p>
    <w:p w14:paraId="048F86F5" w14:textId="2DE49B77" w:rsidR="00756E42" w:rsidRDefault="00B70B29" w:rsidP="00EB186D">
      <w:pPr>
        <w:pStyle w:val="Collega"/>
        <w:rPr>
          <w:rStyle w:val="Hyperlink"/>
          <w:sz w:val="20"/>
          <w:szCs w:val="20"/>
        </w:rPr>
      </w:pPr>
      <w:hyperlink r:id="rId24" w:history="1">
        <w:r w:rsidR="00756E42" w:rsidRPr="00EB186D">
          <w:rPr>
            <w:rStyle w:val="Hyperlink"/>
            <w:sz w:val="20"/>
            <w:szCs w:val="20"/>
          </w:rPr>
          <w:t>https://joinup.ec.europa.eu/collection/eprocurement/open-standards-ict-procurement</w:t>
        </w:r>
      </w:hyperlink>
    </w:p>
    <w:p w14:paraId="73B1F186" w14:textId="485CC9B6" w:rsidR="00756E42" w:rsidRDefault="00756E42" w:rsidP="00EB186D">
      <w:pPr>
        <w:pStyle w:val="Collega"/>
        <w:rPr>
          <w:rStyle w:val="Hyperlink"/>
          <w:sz w:val="20"/>
          <w:szCs w:val="20"/>
        </w:rPr>
      </w:pPr>
      <w:r w:rsidRPr="00291E03">
        <w:rPr>
          <w:rStyle w:val="Hyperlink"/>
          <w:sz w:val="20"/>
          <w:szCs w:val="20"/>
        </w:rPr>
        <w:t>Best practices for ICT procurement based on standards in order to promote efficiency and reduce lock-in: 2-year project completed</w:t>
      </w:r>
      <w:r>
        <w:rPr>
          <w:rStyle w:val="Hyperlink"/>
          <w:sz w:val="20"/>
          <w:szCs w:val="20"/>
        </w:rPr>
        <w:t>, 2016 – available at</w:t>
      </w:r>
    </w:p>
    <w:p w14:paraId="18243569" w14:textId="7D75DCEA" w:rsidR="00756E42" w:rsidRPr="00EB186D" w:rsidRDefault="00756E42" w:rsidP="00EB186D">
      <w:pPr>
        <w:pStyle w:val="Collega"/>
        <w:rPr>
          <w:rStyle w:val="Hyperlink"/>
          <w:sz w:val="20"/>
          <w:szCs w:val="20"/>
        </w:rPr>
      </w:pPr>
      <w:r w:rsidRPr="00291E03">
        <w:rPr>
          <w:rStyle w:val="Hyperlink"/>
          <w:sz w:val="20"/>
          <w:szCs w:val="20"/>
        </w:rPr>
        <w:t>https://ec.europa.eu/digital-single-market/en/news/best-practices-ict-procurement-based-standards-order-promote-efficiency-and-reduce-lock-2-year</w:t>
      </w:r>
    </w:p>
  </w:footnote>
  <w:footnote w:id="77">
    <w:p w14:paraId="30E94836" w14:textId="20E2736E" w:rsidR="00756E42" w:rsidRPr="00527495" w:rsidRDefault="00756E42" w:rsidP="00760E39">
      <w:pPr>
        <w:pStyle w:val="FootnoteText"/>
        <w:spacing w:after="0"/>
        <w:rPr>
          <w:lang w:val="cs-CZ"/>
        </w:rPr>
      </w:pPr>
      <w:r>
        <w:rPr>
          <w:rStyle w:val="FootnoteReference"/>
        </w:rPr>
        <w:footnoteRef/>
      </w:r>
      <w:r>
        <w:t xml:space="preserve"> Even though attempts have been made, see e.g. </w:t>
      </w:r>
      <w:hyperlink r:id="rId25" w:history="1">
        <w:r>
          <w:rPr>
            <w:rStyle w:val="Hyperlink"/>
            <w:rFonts w:eastAsiaTheme="majorEastAsia"/>
          </w:rPr>
          <w:t>https://agilecontracts.org/</w:t>
        </w:r>
      </w:hyperlink>
      <w:r>
        <w:t xml:space="preserve">. </w:t>
      </w:r>
    </w:p>
  </w:footnote>
  <w:footnote w:id="78">
    <w:p w14:paraId="0083FABD" w14:textId="77777777" w:rsidR="00756E42" w:rsidRPr="00527495" w:rsidRDefault="00756E42" w:rsidP="00760E39">
      <w:pPr>
        <w:pStyle w:val="FootnoteText"/>
        <w:spacing w:after="0"/>
        <w:rPr>
          <w:lang w:val="cs-CZ"/>
        </w:rPr>
      </w:pPr>
      <w:r>
        <w:rPr>
          <w:rStyle w:val="FootnoteReference"/>
        </w:rPr>
        <w:footnoteRef/>
      </w:r>
      <w:r w:rsidRPr="00527495">
        <w:rPr>
          <w:lang w:val="cs-CZ"/>
        </w:rPr>
        <w:t xml:space="preserve"> </w:t>
      </w:r>
      <w:hyperlink r:id="rId26" w:history="1">
        <w:r w:rsidRPr="00527495">
          <w:rPr>
            <w:rStyle w:val="Hyperlink"/>
            <w:rFonts w:eastAsiaTheme="majorEastAsia"/>
            <w:lang w:val="cs-CZ"/>
          </w:rPr>
          <w:t>https://simap.ted.europa.eu/list-of-ted-esenders</w:t>
        </w:r>
      </w:hyperlink>
    </w:p>
  </w:footnote>
  <w:footnote w:id="79">
    <w:p w14:paraId="6236E433" w14:textId="77777777" w:rsidR="00756E42" w:rsidRPr="00FA39C8" w:rsidRDefault="00756E42" w:rsidP="00760E39">
      <w:pPr>
        <w:pStyle w:val="FootnoteText"/>
        <w:spacing w:after="0"/>
        <w:rPr>
          <w:lang w:val="cs-CZ"/>
        </w:rPr>
      </w:pPr>
      <w:r>
        <w:rPr>
          <w:rStyle w:val="FootnoteReference"/>
        </w:rPr>
        <w:footnoteRef/>
      </w:r>
      <w:r w:rsidRPr="00FA39C8">
        <w:rPr>
          <w:lang w:val="cs-CZ"/>
        </w:rPr>
        <w:t xml:space="preserve"> </w:t>
      </w:r>
      <w:hyperlink r:id="rId27" w:history="1">
        <w:r w:rsidRPr="00FA39C8">
          <w:rPr>
            <w:rStyle w:val="Hyperlink"/>
            <w:lang w:val="cs-CZ"/>
          </w:rPr>
          <w:t>https://ec.europa.eu/docsroom/documents/35142/attachments/1/translations/en/renditions/native</w:t>
        </w:r>
      </w:hyperlink>
      <w:r w:rsidRPr="00FA39C8">
        <w:rPr>
          <w:lang w:val="cs-CZ"/>
        </w:rPr>
        <w:t xml:space="preserve"> </w:t>
      </w:r>
    </w:p>
  </w:footnote>
  <w:footnote w:id="80">
    <w:p w14:paraId="11DC364A" w14:textId="200E31CC" w:rsidR="00756E42" w:rsidRPr="000012D9" w:rsidRDefault="00756E42" w:rsidP="00FF3AD7">
      <w:pPr>
        <w:pStyle w:val="FootnoteText"/>
        <w:spacing w:after="0"/>
        <w:rPr>
          <w:lang w:val="en-IE"/>
        </w:rPr>
      </w:pPr>
      <w:r w:rsidRPr="000012D9">
        <w:rPr>
          <w:rStyle w:val="FootnoteReference"/>
          <w:lang w:val="en-IE"/>
        </w:rPr>
        <w:footnoteRef/>
      </w:r>
      <w:r w:rsidRPr="000012D9">
        <w:rPr>
          <w:lang w:val="en-IE"/>
        </w:rPr>
        <w:t xml:space="preserve"> Incl. mandatory under certain condition specified by business rules. </w:t>
      </w:r>
    </w:p>
  </w:footnote>
  <w:footnote w:id="81">
    <w:p w14:paraId="0522E278" w14:textId="2C64F53A" w:rsidR="00756E42" w:rsidRPr="000012D9" w:rsidRDefault="00756E42" w:rsidP="00FF3AD7">
      <w:pPr>
        <w:pStyle w:val="FootnoteText"/>
        <w:spacing w:after="0"/>
        <w:rPr>
          <w:lang w:val="en-IE"/>
        </w:rPr>
      </w:pPr>
      <w:r w:rsidRPr="000012D9">
        <w:rPr>
          <w:rStyle w:val="FootnoteReference"/>
          <w:lang w:val="en-IE"/>
        </w:rPr>
        <w:footnoteRef/>
      </w:r>
      <w:r w:rsidRPr="000012D9">
        <w:rPr>
          <w:lang w:val="en-IE"/>
        </w:rPr>
        <w:t xml:space="preserve"> There are no “Reasons for never different per lot“, because we are not aware of any field-specific ones. The general “it may be simpler” argument is explained in </w:t>
      </w:r>
      <w:r w:rsidRPr="000012D9">
        <w:rPr>
          <w:lang w:val="en-IE"/>
        </w:rPr>
        <w:fldChar w:fldCharType="begin"/>
      </w:r>
      <w:r w:rsidRPr="000012D9">
        <w:rPr>
          <w:lang w:val="en-IE"/>
        </w:rPr>
        <w:instrText xml:space="preserve"> REF _Ref19526875 \r \h </w:instrText>
      </w:r>
      <w:r w:rsidRPr="000012D9">
        <w:rPr>
          <w:lang w:val="en-IE"/>
        </w:rPr>
      </w:r>
      <w:r w:rsidRPr="000012D9">
        <w:rPr>
          <w:lang w:val="en-IE"/>
        </w:rPr>
        <w:fldChar w:fldCharType="separate"/>
      </w:r>
      <w:r>
        <w:rPr>
          <w:lang w:val="en-IE"/>
        </w:rPr>
        <w:t>3.5.3</w:t>
      </w:r>
      <w:r w:rsidRPr="000012D9">
        <w:rPr>
          <w:lang w:val="en-IE"/>
        </w:rPr>
        <w:fldChar w:fldCharType="end"/>
      </w:r>
      <w:r w:rsidRPr="000012D9">
        <w:rPr>
          <w:lang w:val="en-IE"/>
        </w:rPr>
        <w:t>.</w:t>
      </w:r>
    </w:p>
  </w:footnote>
  <w:footnote w:id="82">
    <w:p w14:paraId="5B2495C5" w14:textId="7961C908" w:rsidR="00756E42" w:rsidRPr="000012D9" w:rsidRDefault="00756E42">
      <w:pPr>
        <w:pStyle w:val="FootnoteText"/>
        <w:rPr>
          <w:lang w:val="en-IE"/>
        </w:rPr>
      </w:pPr>
      <w:r w:rsidRPr="000012D9">
        <w:rPr>
          <w:rStyle w:val="FootnoteReference"/>
          <w:lang w:val="en-IE"/>
        </w:rPr>
        <w:footnoteRef/>
      </w:r>
      <w:r w:rsidRPr="000012D9">
        <w:rPr>
          <w:lang w:val="en-IE"/>
        </w:rPr>
        <w:t xml:space="preserve"> For more information on eDelivery, see </w:t>
      </w:r>
      <w:hyperlink r:id="rId28" w:history="1">
        <w:r w:rsidRPr="000012D9">
          <w:rPr>
            <w:rStyle w:val="Hyperlink"/>
            <w:rFonts w:eastAsiaTheme="majorEastAsia"/>
            <w:lang w:val="en-IE"/>
          </w:rPr>
          <w:t>https://ec.europa.eu/inea/sites/inea/files/building_block_dsi-introdocument_edelivery_v1_00.pdf</w:t>
        </w:r>
      </w:hyperlink>
      <w:r w:rsidRPr="000012D9">
        <w:rPr>
          <w:lang w:val="en-IE"/>
        </w:rPr>
        <w:t xml:space="preserve">. </w:t>
      </w:r>
    </w:p>
  </w:footnote>
  <w:footnote w:id="83">
    <w:p w14:paraId="29D5597C" w14:textId="77777777" w:rsidR="00756E42" w:rsidRPr="000012D9" w:rsidRDefault="00756E42" w:rsidP="007B53A2">
      <w:pPr>
        <w:pStyle w:val="FootnoteText"/>
        <w:rPr>
          <w:lang w:val="en-IE"/>
        </w:rPr>
      </w:pPr>
      <w:r w:rsidRPr="000012D9">
        <w:rPr>
          <w:rStyle w:val="FootnoteReference"/>
          <w:lang w:val="en-IE"/>
        </w:rPr>
        <w:footnoteRef/>
      </w:r>
      <w:r w:rsidRPr="000012D9">
        <w:rPr>
          <w:lang w:val="en-IE"/>
        </w:rPr>
        <w:t xml:space="preserve"> </w:t>
      </w:r>
      <w:r w:rsidRPr="000012D9">
        <w:rPr>
          <w:szCs w:val="24"/>
          <w:lang w:val="en-IE"/>
        </w:rPr>
        <w:t>Buyers should use these registries regardless of the field on winner nationality, as they are useful as a reference point to comply with the Directives’ provisions on exclusion grounds, in particular the last paragraph of Art. 57 of Directive 2014/24/EU.</w:t>
      </w:r>
    </w:p>
  </w:footnote>
  <w:footnote w:id="84">
    <w:p w14:paraId="2B938A75" w14:textId="155A409A" w:rsidR="00756E42" w:rsidRPr="000012D9" w:rsidRDefault="00756E42">
      <w:pPr>
        <w:pStyle w:val="FootnoteText"/>
        <w:rPr>
          <w:lang w:val="en-IE"/>
        </w:rPr>
      </w:pPr>
      <w:r w:rsidRPr="000012D9">
        <w:rPr>
          <w:rStyle w:val="FootnoteReference"/>
          <w:lang w:val="en-IE"/>
        </w:rPr>
        <w:footnoteRef/>
      </w:r>
      <w:r w:rsidRPr="000012D9">
        <w:rPr>
          <w:lang w:val="en-IE"/>
        </w:rPr>
        <w:t xml:space="preserve"> </w:t>
      </w:r>
      <w:r w:rsidRPr="000012D9">
        <w:rPr>
          <w:rFonts w:ascii="Segoe UI" w:hAnsi="Segoe UI" w:cs="Segoe UI"/>
          <w:sz w:val="21"/>
          <w:szCs w:val="21"/>
          <w:lang w:val="en-IE"/>
        </w:rPr>
        <w:t>Art. 46(3) and Rec. 78-79 of Directive 2014/24/EU</w:t>
      </w:r>
    </w:p>
  </w:footnote>
  <w:footnote w:id="85">
    <w:p w14:paraId="42EDF577" w14:textId="746F7748" w:rsidR="00756E42" w:rsidRPr="000012D9" w:rsidRDefault="00756E42">
      <w:pPr>
        <w:pStyle w:val="FootnoteText"/>
        <w:rPr>
          <w:lang w:val="en-IE"/>
        </w:rPr>
      </w:pPr>
      <w:r w:rsidRPr="000012D9">
        <w:rPr>
          <w:rStyle w:val="FootnoteReference"/>
          <w:lang w:val="en-IE"/>
        </w:rPr>
        <w:footnoteRef/>
      </w:r>
      <w:r w:rsidRPr="000012D9">
        <w:rPr>
          <w:lang w:val="en-IE"/>
        </w:rPr>
        <w:t xml:space="preserve"> E.g. 2014/24/EU Art. 33(2) second subparagraph.</w:t>
      </w:r>
    </w:p>
  </w:footnote>
  <w:footnote w:id="86">
    <w:p w14:paraId="0E92062B" w14:textId="4FDE45CF" w:rsidR="00756E42" w:rsidRPr="000012D9" w:rsidRDefault="00756E42">
      <w:pPr>
        <w:pStyle w:val="FootnoteText"/>
        <w:rPr>
          <w:lang w:val="en-IE"/>
        </w:rPr>
      </w:pPr>
      <w:r w:rsidRPr="000012D9">
        <w:rPr>
          <w:rStyle w:val="FootnoteReference"/>
          <w:lang w:val="en-IE"/>
        </w:rPr>
        <w:footnoteRef/>
      </w:r>
      <w:r w:rsidRPr="000012D9">
        <w:rPr>
          <w:lang w:val="en-IE"/>
        </w:rPr>
        <w:t xml:space="preserve"> </w:t>
      </w:r>
      <w:r w:rsidRPr="000012D9">
        <w:rPr>
          <w:rFonts w:asciiTheme="minorHAnsi" w:hAnsiTheme="minorHAnsi"/>
          <w:iCs/>
          <w:sz w:val="22"/>
          <w:szCs w:val="24"/>
          <w:lang w:val="en-IE" w:eastAsia="en-GB"/>
        </w:rPr>
        <w:t xml:space="preserve">Often, if lots have a shared budget, then users have a tendency to put the same (total) value per lot. This can be used in an user interface: if in a framework agreement there are multiple lots with the same maximum value, a popup can suggest using a grouped value field. </w:t>
      </w:r>
    </w:p>
  </w:footnote>
  <w:footnote w:id="87">
    <w:p w14:paraId="746378DF" w14:textId="289C6CDA" w:rsidR="00756E42" w:rsidRPr="000012D9" w:rsidRDefault="00756E42">
      <w:pPr>
        <w:pStyle w:val="FootnoteText"/>
        <w:rPr>
          <w:lang w:val="en-IE"/>
        </w:rPr>
      </w:pPr>
      <w:r w:rsidRPr="000012D9">
        <w:rPr>
          <w:rStyle w:val="FootnoteReference"/>
          <w:lang w:val="en-IE"/>
        </w:rPr>
        <w:footnoteRef/>
      </w:r>
      <w:r w:rsidRPr="000012D9">
        <w:rPr>
          <w:lang w:val="en-IE"/>
        </w:rPr>
        <w:t xml:space="preserve"> See </w:t>
      </w:r>
      <w:hyperlink r:id="rId29" w:history="1">
        <w:r w:rsidRPr="000012D9">
          <w:rPr>
            <w:rStyle w:val="Hyperlink"/>
            <w:lang w:val="en-IE"/>
          </w:rPr>
          <w:t>https://trade.ec.europa.eu/tradehelp/basic-rules</w:t>
        </w:r>
      </w:hyperlink>
      <w:r w:rsidRPr="000012D9">
        <w:rPr>
          <w:rStyle w:val="Hyperlink"/>
          <w:lang w:val="en-IE"/>
        </w:rPr>
        <w:t xml:space="preserve">, </w:t>
      </w:r>
      <w:hyperlink r:id="rId30" w:history="1">
        <w:r w:rsidRPr="000012D9">
          <w:rPr>
            <w:rStyle w:val="Hyperlink"/>
            <w:rFonts w:eastAsiaTheme="majorEastAsia"/>
            <w:lang w:val="en-IE"/>
          </w:rPr>
          <w:t>https://en.wikipedia.org/wiki/Country_of_origin</w:t>
        </w:r>
      </w:hyperlink>
      <w:r w:rsidRPr="000012D9">
        <w:rPr>
          <w:lang w:val="en-IE"/>
        </w:rPr>
        <w:t>, etc.</w:t>
      </w:r>
    </w:p>
  </w:footnote>
  <w:footnote w:id="88">
    <w:p w14:paraId="3C9B41AC" w14:textId="5B2B51AB" w:rsidR="00756E42" w:rsidRPr="000012D9" w:rsidRDefault="00756E42" w:rsidP="00EB186D">
      <w:pPr>
        <w:pStyle w:val="FootnoteText"/>
        <w:spacing w:after="0"/>
        <w:rPr>
          <w:lang w:val="en-IE"/>
        </w:rPr>
      </w:pPr>
      <w:r w:rsidRPr="000012D9">
        <w:rPr>
          <w:rStyle w:val="FootnoteReference"/>
          <w:lang w:val="en-IE"/>
        </w:rPr>
        <w:footnoteRef/>
      </w:r>
      <w:r w:rsidRPr="000012D9">
        <w:rPr>
          <w:lang w:val="en-IE"/>
        </w:rPr>
        <w:t xml:space="preserve"> See </w:t>
      </w:r>
      <w:r w:rsidRPr="000012D9">
        <w:rPr>
          <w:rFonts w:asciiTheme="minorHAnsi" w:hAnsiTheme="minorHAnsi" w:cstheme="minorHAnsi"/>
          <w:sz w:val="22"/>
          <w:szCs w:val="22"/>
          <w:lang w:val="en-IE"/>
        </w:rPr>
        <w:t xml:space="preserve">recommendation 8 of the Final Report and Recommendations, </w:t>
      </w:r>
      <w:hyperlink r:id="rId31" w:history="1">
        <w:r w:rsidRPr="000012D9">
          <w:rPr>
            <w:rStyle w:val="Hyperlink"/>
            <w:rFonts w:eastAsiaTheme="majorEastAsia"/>
            <w:lang w:val="en-IE"/>
          </w:rPr>
          <w:t>http://ec.europa.eu/DocsRoom/documents/20354/attachments/1/translations/en/renditions/native</w:t>
        </w:r>
      </w:hyperlink>
      <w:r w:rsidRPr="000012D9">
        <w:rPr>
          <w:lang w:val="en-IE"/>
        </w:rPr>
        <w:t xml:space="preserve">. </w:t>
      </w:r>
    </w:p>
  </w:footnote>
  <w:footnote w:id="89">
    <w:p w14:paraId="195BF7A2" w14:textId="149A13F8" w:rsidR="00756E42" w:rsidRPr="000012D9" w:rsidRDefault="00756E42" w:rsidP="00EB186D">
      <w:pPr>
        <w:pStyle w:val="FootnoteText"/>
        <w:spacing w:after="0"/>
        <w:rPr>
          <w:lang w:val="en-IE"/>
        </w:rPr>
      </w:pPr>
      <w:r w:rsidRPr="000012D9">
        <w:rPr>
          <w:rStyle w:val="FootnoteReference"/>
          <w:lang w:val="en-IE"/>
        </w:rPr>
        <w:footnoteRef/>
      </w:r>
      <w:r w:rsidRPr="000012D9">
        <w:rPr>
          <w:lang w:val="en-IE"/>
        </w:rPr>
        <w:t xml:space="preserve"> See </w:t>
      </w:r>
      <w:hyperlink r:id="rId32" w:history="1">
        <w:r w:rsidRPr="000012D9">
          <w:rPr>
            <w:rStyle w:val="Hyperlink"/>
            <w:lang w:val="en-IE"/>
          </w:rPr>
          <w:t>http://spendmatters.com/uk/ogc-flagging-i-said-flagging-the-contract-guidance/</w:t>
        </w:r>
      </w:hyperlink>
      <w:r w:rsidRPr="000012D9">
        <w:rPr>
          <w:lang w:val="en-IE"/>
        </w:rPr>
        <w:t xml:space="preserve">. </w:t>
      </w:r>
    </w:p>
  </w:footnote>
  <w:footnote w:id="90">
    <w:p w14:paraId="510EE401" w14:textId="77777777" w:rsidR="00756E42" w:rsidRPr="000012D9" w:rsidRDefault="00756E42" w:rsidP="00EB186D">
      <w:pPr>
        <w:pStyle w:val="FootnoteText"/>
        <w:spacing w:after="0"/>
        <w:rPr>
          <w:lang w:val="en-IE"/>
        </w:rPr>
      </w:pPr>
      <w:r w:rsidRPr="000012D9">
        <w:rPr>
          <w:rStyle w:val="FootnoteReference"/>
          <w:lang w:val="en-IE"/>
        </w:rPr>
        <w:footnoteRef/>
      </w:r>
      <w:r w:rsidRPr="000012D9">
        <w:rPr>
          <w:lang w:val="en-IE"/>
        </w:rPr>
        <w:t xml:space="preserve"> </w:t>
      </w:r>
      <w:hyperlink r:id="rId33" w:history="1">
        <w:r w:rsidRPr="000012D9">
          <w:rPr>
            <w:rStyle w:val="Hyperlink"/>
            <w:lang w:val="en-IE"/>
          </w:rPr>
          <w:t>https://www.cgdev.org/publication/principles-commercial-transparency-public-contracts</w:t>
        </w:r>
      </w:hyperlink>
    </w:p>
  </w:footnote>
  <w:footnote w:id="91">
    <w:p w14:paraId="434DE61C" w14:textId="77777777" w:rsidR="00756E42" w:rsidRPr="000012D9" w:rsidRDefault="00756E42" w:rsidP="00EB186D">
      <w:pPr>
        <w:pStyle w:val="FootnoteText"/>
        <w:spacing w:after="0"/>
        <w:rPr>
          <w:lang w:val="en-IE"/>
        </w:rPr>
      </w:pPr>
      <w:r w:rsidRPr="000012D9">
        <w:rPr>
          <w:rStyle w:val="FootnoteReference"/>
          <w:lang w:val="en-IE"/>
        </w:rPr>
        <w:footnoteRef/>
      </w:r>
      <w:r w:rsidRPr="000012D9">
        <w:rPr>
          <w:lang w:val="en-IE"/>
        </w:rPr>
        <w:t xml:space="preserve"> </w:t>
      </w:r>
      <w:hyperlink r:id="rId34" w:history="1">
        <w:r w:rsidRPr="000012D9">
          <w:rPr>
            <w:rStyle w:val="Hyperlink"/>
            <w:rFonts w:eastAsiaTheme="majorEastAsia"/>
            <w:lang w:val="en-IE"/>
          </w:rPr>
          <w:t>https://www.open-contracting.org/resources/mythbusting-confidentiality-public-contracting/</w:t>
        </w:r>
      </w:hyperlink>
    </w:p>
  </w:footnote>
  <w:footnote w:id="92">
    <w:p w14:paraId="14451947" w14:textId="77777777" w:rsidR="00756E42" w:rsidRDefault="00756E42" w:rsidP="00DA54B7">
      <w:pPr>
        <w:pStyle w:val="CommentText"/>
      </w:pPr>
      <w:r>
        <w:rPr>
          <w:rStyle w:val="FootnoteReference"/>
        </w:rPr>
        <w:footnoteRef/>
      </w:r>
      <w:r>
        <w:t xml:space="preserve"> </w:t>
      </w:r>
      <w:hyperlink r:id="rId35" w:history="1">
        <w:r>
          <w:rPr>
            <w:rStyle w:val="Hyperlink"/>
          </w:rPr>
          <w:t>https://op.europa.eu/en/web/eu-vocabularies/e-procurement</w:t>
        </w:r>
      </w:hyperlink>
    </w:p>
    <w:p w14:paraId="3B65EFCB" w14:textId="195EBDA5" w:rsidR="00756E42" w:rsidRPr="00DA54B7" w:rsidRDefault="00756E42">
      <w:pPr>
        <w:pStyle w:val="FootnoteText"/>
      </w:pPr>
    </w:p>
  </w:footnote>
  <w:footnote w:id="93">
    <w:p w14:paraId="3022565C" w14:textId="6227A74F" w:rsidR="00756E42" w:rsidRPr="000012D9" w:rsidRDefault="00756E42">
      <w:pPr>
        <w:pStyle w:val="FootnoteText"/>
        <w:rPr>
          <w:lang w:val="en-IE"/>
        </w:rPr>
      </w:pPr>
      <w:r w:rsidRPr="000012D9">
        <w:rPr>
          <w:rStyle w:val="FootnoteReference"/>
          <w:lang w:val="en-IE"/>
        </w:rPr>
        <w:footnoteRef/>
      </w:r>
      <w:r w:rsidRPr="000012D9">
        <w:rPr>
          <w:lang w:val="en-IE"/>
        </w:rPr>
        <w:t xml:space="preserve"> Allowed by Directive 2014/24/EU Art. 67(5) second sentence and similar provisions in the other Directives.</w:t>
      </w:r>
    </w:p>
  </w:footnote>
  <w:footnote w:id="94">
    <w:p w14:paraId="73CEC43A" w14:textId="60DD8DB1" w:rsidR="00756E42" w:rsidRPr="000012D9" w:rsidRDefault="00756E42" w:rsidP="002A372E">
      <w:pPr>
        <w:pStyle w:val="FootnoteText"/>
        <w:rPr>
          <w:lang w:val="en-IE"/>
        </w:rPr>
      </w:pPr>
      <w:r w:rsidRPr="000012D9">
        <w:rPr>
          <w:rStyle w:val="FootnoteReference"/>
          <w:lang w:val="en-IE"/>
        </w:rPr>
        <w:footnoteRef/>
      </w:r>
      <w:r w:rsidRPr="000012D9">
        <w:rPr>
          <w:lang w:val="en-IE"/>
        </w:rPr>
        <w:t xml:space="preserve"> See e.g. Rec. 90 (last paragraph) of Directive 2014/24/EU. </w:t>
      </w:r>
    </w:p>
  </w:footnote>
  <w:footnote w:id="95">
    <w:p w14:paraId="51A84664" w14:textId="77777777" w:rsidR="00756E42" w:rsidRPr="000012D9" w:rsidRDefault="00756E42" w:rsidP="005649CA">
      <w:pPr>
        <w:pStyle w:val="FootnoteText"/>
        <w:rPr>
          <w:lang w:val="en-IE"/>
        </w:rPr>
      </w:pPr>
      <w:r w:rsidRPr="000012D9">
        <w:rPr>
          <w:rStyle w:val="FootnoteReference"/>
          <w:lang w:val="en-IE"/>
        </w:rPr>
        <w:footnoteRef/>
      </w:r>
      <w:r w:rsidRPr="000012D9">
        <w:rPr>
          <w:lang w:val="en-IE"/>
        </w:rPr>
        <w:t xml:space="preserve"> </w:t>
      </w:r>
      <w:r w:rsidRPr="000012D9">
        <w:rPr>
          <w:szCs w:val="24"/>
          <w:lang w:val="en-IE"/>
        </w:rPr>
        <w:t xml:space="preserve">See e.g. OECD, “Detecting bid rigging in public procurement” (point 6), URL: </w:t>
      </w:r>
      <w:hyperlink r:id="rId36" w:history="1">
        <w:r w:rsidRPr="000012D9">
          <w:rPr>
            <w:rStyle w:val="Hyperlink"/>
            <w:szCs w:val="24"/>
            <w:lang w:val="en-IE"/>
          </w:rPr>
          <w:t>http://www.oecd.org/competition/cartels/42594486.pdf</w:t>
        </w:r>
      </w:hyperlink>
      <w:r w:rsidRPr="000012D9">
        <w:rPr>
          <w:szCs w:val="24"/>
          <w:lang w:val="en-IE"/>
        </w:rPr>
        <w:t xml:space="preserve"> </w:t>
      </w:r>
    </w:p>
  </w:footnote>
  <w:footnote w:id="96">
    <w:p w14:paraId="6AE11D00" w14:textId="585F7D64" w:rsidR="00756E42" w:rsidRPr="000012D9" w:rsidRDefault="00756E42" w:rsidP="007C19E8">
      <w:pPr>
        <w:pStyle w:val="FootnoteText"/>
        <w:spacing w:after="0"/>
        <w:rPr>
          <w:lang w:val="en-IE"/>
        </w:rPr>
      </w:pPr>
      <w:r w:rsidRPr="000012D9">
        <w:rPr>
          <w:rStyle w:val="FootnoteReference"/>
          <w:lang w:val="en-IE"/>
        </w:rPr>
        <w:footnoteRef/>
      </w:r>
      <w:r w:rsidRPr="000012D9">
        <w:rPr>
          <w:lang w:val="en-IE"/>
        </w:rPr>
        <w:t xml:space="preserve"> In the last three cases, all but one tender would be linked to awarded prizes (not contracts).</w:t>
      </w:r>
    </w:p>
  </w:footnote>
  <w:footnote w:id="97">
    <w:p w14:paraId="7D56A469" w14:textId="62BC7AB6" w:rsidR="00756E42" w:rsidRPr="000012D9" w:rsidRDefault="00756E42" w:rsidP="007C19E8">
      <w:pPr>
        <w:pStyle w:val="FootnoteText"/>
        <w:spacing w:after="0"/>
        <w:rPr>
          <w:lang w:val="en-IE"/>
        </w:rPr>
      </w:pPr>
      <w:r w:rsidRPr="000012D9">
        <w:rPr>
          <w:rStyle w:val="FootnoteReference"/>
          <w:lang w:val="en-IE"/>
        </w:rPr>
        <w:footnoteRef/>
      </w:r>
      <w:r w:rsidRPr="000012D9">
        <w:rPr>
          <w:lang w:val="en-IE"/>
        </w:rPr>
        <w:t xml:space="preserve"> In eForms, this corresponds to a large number of repeated BG-310 (Contract). </w:t>
      </w:r>
    </w:p>
  </w:footnote>
  <w:footnote w:id="98">
    <w:p w14:paraId="61E3EE1D" w14:textId="2B499481" w:rsidR="00756E42" w:rsidRPr="000012D9" w:rsidRDefault="00756E42" w:rsidP="007C19E8">
      <w:pPr>
        <w:pStyle w:val="FootnoteText"/>
        <w:spacing w:after="0"/>
        <w:jc w:val="left"/>
        <w:rPr>
          <w:lang w:val="en-IE"/>
        </w:rPr>
      </w:pPr>
      <w:r w:rsidRPr="000012D9">
        <w:rPr>
          <w:rStyle w:val="FootnoteReference"/>
          <w:lang w:val="en-IE"/>
        </w:rPr>
        <w:footnoteRef/>
      </w:r>
      <w:r w:rsidRPr="000012D9">
        <w:rPr>
          <w:lang w:val="en-IE"/>
        </w:rPr>
        <w:t xml:space="preserve"> Correspondence tables are available for most EU countries at </w:t>
      </w:r>
      <w:hyperlink r:id="rId37" w:history="1">
        <w:r w:rsidRPr="000012D9">
          <w:rPr>
            <w:rStyle w:val="Hyperlink"/>
            <w:shd w:val="clear" w:color="auto" w:fill="FFFFFF"/>
            <w:lang w:val="en-IE"/>
          </w:rPr>
          <w:t>http://ec.europa.eu/eurostat/web/nuts/overview</w:t>
        </w:r>
      </w:hyperlink>
      <w:r w:rsidRPr="000012D9">
        <w:rPr>
          <w:rFonts w:asciiTheme="minorHAnsi" w:hAnsiTheme="minorHAnsi" w:cstheme="minorHAnsi"/>
          <w:color w:val="000000"/>
          <w:sz w:val="22"/>
          <w:szCs w:val="22"/>
          <w:shd w:val="clear" w:color="auto" w:fill="FFFFFF"/>
          <w:lang w:val="en-IE"/>
        </w:rPr>
        <w:t xml:space="preserve"> </w:t>
      </w:r>
    </w:p>
  </w:footnote>
  <w:footnote w:id="99">
    <w:p w14:paraId="4FE2A7C9" w14:textId="1BCAFB82" w:rsidR="00756E42" w:rsidRPr="000012D9" w:rsidRDefault="00756E42">
      <w:pPr>
        <w:pStyle w:val="FootnoteText"/>
        <w:rPr>
          <w:lang w:val="en-IE"/>
        </w:rPr>
      </w:pPr>
      <w:r w:rsidRPr="000012D9">
        <w:rPr>
          <w:rStyle w:val="FootnoteReference"/>
          <w:lang w:val="en-IE"/>
        </w:rPr>
        <w:footnoteRef/>
      </w:r>
      <w:r w:rsidRPr="000012D9">
        <w:rPr>
          <w:lang w:val="en-IE"/>
        </w:rPr>
        <w:t xml:space="preserve"> </w:t>
      </w:r>
      <w:r w:rsidRPr="000012D9">
        <w:rPr>
          <w:rFonts w:asciiTheme="minorHAnsi" w:hAnsiTheme="minorHAnsi" w:cstheme="minorHAnsi"/>
          <w:color w:val="000000"/>
          <w:sz w:val="22"/>
          <w:szCs w:val="22"/>
          <w:shd w:val="clear" w:color="auto" w:fill="FFFFFF"/>
          <w:lang w:val="en-IE"/>
        </w:rPr>
        <w:t>For most countries, correspondence tables between NUTS and postcodes are available at http://ec.europa.eu/eurostat/web/nuts/overview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4C84" w14:textId="77777777" w:rsidR="00756E42" w:rsidRDefault="00756E4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9CE4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42977"/>
    <w:multiLevelType w:val="hybridMultilevel"/>
    <w:tmpl w:val="6FD2604A"/>
    <w:lvl w:ilvl="0" w:tplc="F08E022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A158E"/>
    <w:multiLevelType w:val="hybridMultilevel"/>
    <w:tmpl w:val="3D80B8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1BB1B98"/>
    <w:multiLevelType w:val="hybridMultilevel"/>
    <w:tmpl w:val="978E9246"/>
    <w:lvl w:ilvl="0" w:tplc="5706ED0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72C76"/>
    <w:multiLevelType w:val="hybridMultilevel"/>
    <w:tmpl w:val="ABCE76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02AA6196"/>
    <w:multiLevelType w:val="hybridMultilevel"/>
    <w:tmpl w:val="FBEA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53F0A"/>
    <w:multiLevelType w:val="hybridMultilevel"/>
    <w:tmpl w:val="31D4DF90"/>
    <w:lvl w:ilvl="0" w:tplc="E6AE49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C7F3B"/>
    <w:multiLevelType w:val="hybridMultilevel"/>
    <w:tmpl w:val="B3E2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8258CA"/>
    <w:multiLevelType w:val="hybridMultilevel"/>
    <w:tmpl w:val="F6AE17C6"/>
    <w:lvl w:ilvl="0" w:tplc="5706ED04">
      <w:start w:val="1"/>
      <w:numFmt w:val="bullet"/>
      <w:lvlText w:val="-"/>
      <w:lvlJc w:val="left"/>
      <w:pPr>
        <w:tabs>
          <w:tab w:val="num" w:pos="720"/>
        </w:tabs>
        <w:ind w:left="720" w:hanging="360"/>
      </w:pPr>
      <w:rPr>
        <w:rFonts w:ascii="Times New Roman" w:hAnsi="Times New Roman" w:hint="default"/>
      </w:rPr>
    </w:lvl>
    <w:lvl w:ilvl="1" w:tplc="5CFA5064">
      <w:start w:val="1"/>
      <w:numFmt w:val="bullet"/>
      <w:lvlText w:val="-"/>
      <w:lvlJc w:val="left"/>
      <w:pPr>
        <w:tabs>
          <w:tab w:val="num" w:pos="1440"/>
        </w:tabs>
        <w:ind w:left="1440" w:hanging="360"/>
      </w:pPr>
      <w:rPr>
        <w:rFonts w:ascii="Times New Roman" w:hAnsi="Times New Roman" w:hint="default"/>
      </w:rPr>
    </w:lvl>
    <w:lvl w:ilvl="2" w:tplc="8256BB8E">
      <w:start w:val="1"/>
      <w:numFmt w:val="bullet"/>
      <w:lvlText w:val="-"/>
      <w:lvlJc w:val="left"/>
      <w:pPr>
        <w:tabs>
          <w:tab w:val="num" w:pos="2160"/>
        </w:tabs>
        <w:ind w:left="2160" w:hanging="360"/>
      </w:pPr>
      <w:rPr>
        <w:rFonts w:ascii="Times New Roman" w:hAnsi="Times New Roman" w:hint="default"/>
      </w:rPr>
    </w:lvl>
    <w:lvl w:ilvl="3" w:tplc="B98A7F74" w:tentative="1">
      <w:start w:val="1"/>
      <w:numFmt w:val="bullet"/>
      <w:lvlText w:val="-"/>
      <w:lvlJc w:val="left"/>
      <w:pPr>
        <w:tabs>
          <w:tab w:val="num" w:pos="2880"/>
        </w:tabs>
        <w:ind w:left="2880" w:hanging="360"/>
      </w:pPr>
      <w:rPr>
        <w:rFonts w:ascii="Times New Roman" w:hAnsi="Times New Roman" w:hint="default"/>
      </w:rPr>
    </w:lvl>
    <w:lvl w:ilvl="4" w:tplc="FA54134C" w:tentative="1">
      <w:start w:val="1"/>
      <w:numFmt w:val="bullet"/>
      <w:lvlText w:val="-"/>
      <w:lvlJc w:val="left"/>
      <w:pPr>
        <w:tabs>
          <w:tab w:val="num" w:pos="3600"/>
        </w:tabs>
        <w:ind w:left="3600" w:hanging="360"/>
      </w:pPr>
      <w:rPr>
        <w:rFonts w:ascii="Times New Roman" w:hAnsi="Times New Roman" w:hint="default"/>
      </w:rPr>
    </w:lvl>
    <w:lvl w:ilvl="5" w:tplc="A34C24B8" w:tentative="1">
      <w:start w:val="1"/>
      <w:numFmt w:val="bullet"/>
      <w:lvlText w:val="-"/>
      <w:lvlJc w:val="left"/>
      <w:pPr>
        <w:tabs>
          <w:tab w:val="num" w:pos="4320"/>
        </w:tabs>
        <w:ind w:left="4320" w:hanging="360"/>
      </w:pPr>
      <w:rPr>
        <w:rFonts w:ascii="Times New Roman" w:hAnsi="Times New Roman" w:hint="default"/>
      </w:rPr>
    </w:lvl>
    <w:lvl w:ilvl="6" w:tplc="EF7C200A" w:tentative="1">
      <w:start w:val="1"/>
      <w:numFmt w:val="bullet"/>
      <w:lvlText w:val="-"/>
      <w:lvlJc w:val="left"/>
      <w:pPr>
        <w:tabs>
          <w:tab w:val="num" w:pos="5040"/>
        </w:tabs>
        <w:ind w:left="5040" w:hanging="360"/>
      </w:pPr>
      <w:rPr>
        <w:rFonts w:ascii="Times New Roman" w:hAnsi="Times New Roman" w:hint="default"/>
      </w:rPr>
    </w:lvl>
    <w:lvl w:ilvl="7" w:tplc="618CAD2A" w:tentative="1">
      <w:start w:val="1"/>
      <w:numFmt w:val="bullet"/>
      <w:lvlText w:val="-"/>
      <w:lvlJc w:val="left"/>
      <w:pPr>
        <w:tabs>
          <w:tab w:val="num" w:pos="5760"/>
        </w:tabs>
        <w:ind w:left="5760" w:hanging="360"/>
      </w:pPr>
      <w:rPr>
        <w:rFonts w:ascii="Times New Roman" w:hAnsi="Times New Roman" w:hint="default"/>
      </w:rPr>
    </w:lvl>
    <w:lvl w:ilvl="8" w:tplc="CC5C84B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A324429"/>
    <w:multiLevelType w:val="hybridMultilevel"/>
    <w:tmpl w:val="3292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E4D78"/>
    <w:multiLevelType w:val="hybridMultilevel"/>
    <w:tmpl w:val="64AEF5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0D411B46"/>
    <w:multiLevelType w:val="multilevel"/>
    <w:tmpl w:val="B1C460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none"/>
      <w:lvlText w:val="2.3.1"/>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D5B0BC8"/>
    <w:multiLevelType w:val="hybridMultilevel"/>
    <w:tmpl w:val="BF827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12061"/>
    <w:multiLevelType w:val="hybridMultilevel"/>
    <w:tmpl w:val="AAD0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479B8"/>
    <w:multiLevelType w:val="hybridMultilevel"/>
    <w:tmpl w:val="269A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CF08DB"/>
    <w:multiLevelType w:val="hybridMultilevel"/>
    <w:tmpl w:val="D254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4D75BC"/>
    <w:multiLevelType w:val="hybridMultilevel"/>
    <w:tmpl w:val="1E667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3941F0"/>
    <w:multiLevelType w:val="multilevel"/>
    <w:tmpl w:val="A87AE35C"/>
    <w:lvl w:ilvl="0">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4.%2.%3"/>
      <w:lvlJc w:val="left"/>
      <w:pPr>
        <w:ind w:left="720" w:hanging="720"/>
      </w:pPr>
      <w:rPr>
        <w:rFonts w:hint="default"/>
      </w:rPr>
    </w:lvl>
    <w:lvl w:ilvl="3">
      <w:start w:val="1"/>
      <w:numFmt w:val="none"/>
      <w:lvlText w:val="4.1.3.3"/>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29053AE"/>
    <w:multiLevelType w:val="hybridMultilevel"/>
    <w:tmpl w:val="2112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9750F8"/>
    <w:multiLevelType w:val="hybridMultilevel"/>
    <w:tmpl w:val="FDD2FF0A"/>
    <w:lvl w:ilvl="0" w:tplc="0809000F">
      <w:start w:val="1"/>
      <w:numFmt w:val="decimal"/>
      <w:lvlText w:val="%1."/>
      <w:lvlJc w:val="left"/>
      <w:pPr>
        <w:ind w:left="1080" w:hanging="360"/>
      </w:pPr>
      <w:rPr>
        <w:rFont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5BA3890"/>
    <w:multiLevelType w:val="hybridMultilevel"/>
    <w:tmpl w:val="5928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267242"/>
    <w:multiLevelType w:val="multilevel"/>
    <w:tmpl w:val="F1308312"/>
    <w:lvl w:ilvl="0">
      <w:numFmt w:val="decimal"/>
      <w:lvlText w:val="%1."/>
      <w:lvlJc w:val="left"/>
      <w:pPr>
        <w:ind w:left="360" w:hanging="360"/>
      </w:pPr>
      <w:rPr>
        <w:rFonts w:hint="default"/>
      </w:rPr>
    </w:lvl>
    <w:lvl w:ilvl="1">
      <w:start w:val="1"/>
      <w:numFmt w:val="none"/>
      <w:lvlText w:val="3."/>
      <w:lvlJc w:val="left"/>
      <w:pPr>
        <w:ind w:left="792" w:hanging="432"/>
      </w:pPr>
      <w:rPr>
        <w:rFonts w:hint="default"/>
        <w:lang w:val="en-GB"/>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B96B76"/>
    <w:multiLevelType w:val="multilevel"/>
    <w:tmpl w:val="308A8FF6"/>
    <w:lvl w:ilvl="0">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B1A5A56"/>
    <w:multiLevelType w:val="multilevel"/>
    <w:tmpl w:val="16F4161A"/>
    <w:lvl w:ilvl="0">
      <w:numFmt w:val="decimal"/>
      <w:lvlText w:val="%1."/>
      <w:lvlJc w:val="left"/>
      <w:pPr>
        <w:ind w:left="360" w:hanging="360"/>
      </w:pPr>
      <w:rPr>
        <w:rFonts w:hint="default"/>
      </w:rPr>
    </w:lvl>
    <w:lvl w:ilvl="1">
      <w:start w:val="1"/>
      <w:numFmt w:val="none"/>
      <w:lvlText w:val="1."/>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C9A06A4"/>
    <w:multiLevelType w:val="hybridMultilevel"/>
    <w:tmpl w:val="DAF4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9F6E87"/>
    <w:multiLevelType w:val="hybridMultilevel"/>
    <w:tmpl w:val="F08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D61146"/>
    <w:multiLevelType w:val="hybridMultilevel"/>
    <w:tmpl w:val="D766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BF5F9B"/>
    <w:multiLevelType w:val="hybridMultilevel"/>
    <w:tmpl w:val="2438C9A8"/>
    <w:lvl w:ilvl="0" w:tplc="E6AE49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B23071"/>
    <w:multiLevelType w:val="hybridMultilevel"/>
    <w:tmpl w:val="6EF6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BD0DFC"/>
    <w:multiLevelType w:val="hybridMultilevel"/>
    <w:tmpl w:val="5B30D05C"/>
    <w:lvl w:ilvl="0" w:tplc="E6AE49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944582"/>
    <w:multiLevelType w:val="multilevel"/>
    <w:tmpl w:val="AB8229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15:restartNumberingAfterBreak="0">
    <w:nsid w:val="26E56B55"/>
    <w:multiLevelType w:val="multilevel"/>
    <w:tmpl w:val="99DE44D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2E43D5"/>
    <w:multiLevelType w:val="hybridMultilevel"/>
    <w:tmpl w:val="2568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266300"/>
    <w:multiLevelType w:val="multilevel"/>
    <w:tmpl w:val="F1308312"/>
    <w:lvl w:ilvl="0">
      <w:numFmt w:val="decimal"/>
      <w:lvlText w:val="%1."/>
      <w:lvlJc w:val="left"/>
      <w:pPr>
        <w:ind w:left="360" w:hanging="360"/>
      </w:pPr>
      <w:rPr>
        <w:rFonts w:hint="default"/>
      </w:rPr>
    </w:lvl>
    <w:lvl w:ilvl="1">
      <w:start w:val="1"/>
      <w:numFmt w:val="none"/>
      <w:lvlText w:val="3."/>
      <w:lvlJc w:val="left"/>
      <w:pPr>
        <w:ind w:left="792" w:hanging="432"/>
      </w:pPr>
      <w:rPr>
        <w:rFonts w:hint="default"/>
        <w:lang w:val="en-GB"/>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9E45BEB"/>
    <w:multiLevelType w:val="multilevel"/>
    <w:tmpl w:val="308A8FF6"/>
    <w:lvl w:ilvl="0">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B3838C4"/>
    <w:multiLevelType w:val="hybridMultilevel"/>
    <w:tmpl w:val="FE800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C3F1B39"/>
    <w:multiLevelType w:val="multilevel"/>
    <w:tmpl w:val="8ABE110E"/>
    <w:lvl w:ilvl="0">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2EDF66E4"/>
    <w:multiLevelType w:val="hybridMultilevel"/>
    <w:tmpl w:val="1D64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8852E0"/>
    <w:multiLevelType w:val="multilevel"/>
    <w:tmpl w:val="18E6952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4.%2.%3"/>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341F4F39"/>
    <w:multiLevelType w:val="multilevel"/>
    <w:tmpl w:val="5A025A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34387717"/>
    <w:multiLevelType w:val="multilevel"/>
    <w:tmpl w:val="3364E64E"/>
    <w:lvl w:ilvl="0">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4.%2.%3"/>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34DF09A4"/>
    <w:multiLevelType w:val="hybridMultilevel"/>
    <w:tmpl w:val="B94630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515482"/>
    <w:multiLevelType w:val="multilevel"/>
    <w:tmpl w:val="8D64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40EE"/>
    <w:multiLevelType w:val="hybridMultilevel"/>
    <w:tmpl w:val="3348D710"/>
    <w:lvl w:ilvl="0" w:tplc="0E46D19E">
      <w:start w:val="1"/>
      <w:numFmt w:val="bullet"/>
      <w:lvlText w:val="-"/>
      <w:lvlJc w:val="left"/>
      <w:pPr>
        <w:tabs>
          <w:tab w:val="num" w:pos="360"/>
        </w:tabs>
        <w:ind w:left="360" w:hanging="360"/>
      </w:pPr>
      <w:rPr>
        <w:rFonts w:ascii="Times New Roman" w:hAnsi="Times New Roman" w:hint="default"/>
      </w:rPr>
    </w:lvl>
    <w:lvl w:ilvl="1" w:tplc="41C0DEAA">
      <w:start w:val="1194"/>
      <w:numFmt w:val="bullet"/>
      <w:lvlText w:val="-"/>
      <w:lvlJc w:val="left"/>
      <w:pPr>
        <w:tabs>
          <w:tab w:val="num" w:pos="1080"/>
        </w:tabs>
        <w:ind w:left="1080" w:hanging="360"/>
      </w:pPr>
      <w:rPr>
        <w:rFonts w:ascii="Times New Roman" w:hAnsi="Times New Roman" w:hint="default"/>
      </w:rPr>
    </w:lvl>
    <w:lvl w:ilvl="2" w:tplc="9A12542C" w:tentative="1">
      <w:start w:val="1"/>
      <w:numFmt w:val="bullet"/>
      <w:lvlText w:val="-"/>
      <w:lvlJc w:val="left"/>
      <w:pPr>
        <w:tabs>
          <w:tab w:val="num" w:pos="1800"/>
        </w:tabs>
        <w:ind w:left="1800" w:hanging="360"/>
      </w:pPr>
      <w:rPr>
        <w:rFonts w:ascii="Times New Roman" w:hAnsi="Times New Roman" w:hint="default"/>
      </w:rPr>
    </w:lvl>
    <w:lvl w:ilvl="3" w:tplc="926E2244" w:tentative="1">
      <w:start w:val="1"/>
      <w:numFmt w:val="bullet"/>
      <w:lvlText w:val="-"/>
      <w:lvlJc w:val="left"/>
      <w:pPr>
        <w:tabs>
          <w:tab w:val="num" w:pos="2520"/>
        </w:tabs>
        <w:ind w:left="2520" w:hanging="360"/>
      </w:pPr>
      <w:rPr>
        <w:rFonts w:ascii="Times New Roman" w:hAnsi="Times New Roman" w:hint="default"/>
      </w:rPr>
    </w:lvl>
    <w:lvl w:ilvl="4" w:tplc="DED29E90" w:tentative="1">
      <w:start w:val="1"/>
      <w:numFmt w:val="bullet"/>
      <w:lvlText w:val="-"/>
      <w:lvlJc w:val="left"/>
      <w:pPr>
        <w:tabs>
          <w:tab w:val="num" w:pos="3240"/>
        </w:tabs>
        <w:ind w:left="3240" w:hanging="360"/>
      </w:pPr>
      <w:rPr>
        <w:rFonts w:ascii="Times New Roman" w:hAnsi="Times New Roman" w:hint="default"/>
      </w:rPr>
    </w:lvl>
    <w:lvl w:ilvl="5" w:tplc="6D6C42B4" w:tentative="1">
      <w:start w:val="1"/>
      <w:numFmt w:val="bullet"/>
      <w:lvlText w:val="-"/>
      <w:lvlJc w:val="left"/>
      <w:pPr>
        <w:tabs>
          <w:tab w:val="num" w:pos="3960"/>
        </w:tabs>
        <w:ind w:left="3960" w:hanging="360"/>
      </w:pPr>
      <w:rPr>
        <w:rFonts w:ascii="Times New Roman" w:hAnsi="Times New Roman" w:hint="default"/>
      </w:rPr>
    </w:lvl>
    <w:lvl w:ilvl="6" w:tplc="51F47838" w:tentative="1">
      <w:start w:val="1"/>
      <w:numFmt w:val="bullet"/>
      <w:lvlText w:val="-"/>
      <w:lvlJc w:val="left"/>
      <w:pPr>
        <w:tabs>
          <w:tab w:val="num" w:pos="4680"/>
        </w:tabs>
        <w:ind w:left="4680" w:hanging="360"/>
      </w:pPr>
      <w:rPr>
        <w:rFonts w:ascii="Times New Roman" w:hAnsi="Times New Roman" w:hint="default"/>
      </w:rPr>
    </w:lvl>
    <w:lvl w:ilvl="7" w:tplc="63BE0850" w:tentative="1">
      <w:start w:val="1"/>
      <w:numFmt w:val="bullet"/>
      <w:lvlText w:val="-"/>
      <w:lvlJc w:val="left"/>
      <w:pPr>
        <w:tabs>
          <w:tab w:val="num" w:pos="5400"/>
        </w:tabs>
        <w:ind w:left="5400" w:hanging="360"/>
      </w:pPr>
      <w:rPr>
        <w:rFonts w:ascii="Times New Roman" w:hAnsi="Times New Roman" w:hint="default"/>
      </w:rPr>
    </w:lvl>
    <w:lvl w:ilvl="8" w:tplc="4B00C9AE"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378C2C4E"/>
    <w:multiLevelType w:val="hybridMultilevel"/>
    <w:tmpl w:val="3CD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DC72D1"/>
    <w:multiLevelType w:val="multilevel"/>
    <w:tmpl w:val="79FAE9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none"/>
      <w:lvlText w:val="3.5.1"/>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3B637F30"/>
    <w:multiLevelType w:val="multilevel"/>
    <w:tmpl w:val="B4824CA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none"/>
      <w:lvlText w:val="2.2.1"/>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3D2B5F55"/>
    <w:multiLevelType w:val="hybridMultilevel"/>
    <w:tmpl w:val="1094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336F6D"/>
    <w:multiLevelType w:val="hybridMultilevel"/>
    <w:tmpl w:val="DB642B8C"/>
    <w:lvl w:ilvl="0" w:tplc="E6AE49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794AE4"/>
    <w:multiLevelType w:val="hybridMultilevel"/>
    <w:tmpl w:val="80547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E612A5"/>
    <w:multiLevelType w:val="hybridMultilevel"/>
    <w:tmpl w:val="0940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A70F47"/>
    <w:multiLevelType w:val="multilevel"/>
    <w:tmpl w:val="3364E64E"/>
    <w:lvl w:ilvl="0">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4.%2.%3"/>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41825349"/>
    <w:multiLevelType w:val="hybridMultilevel"/>
    <w:tmpl w:val="DF48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5E34BB"/>
    <w:multiLevelType w:val="multilevel"/>
    <w:tmpl w:val="308A8FF6"/>
    <w:lvl w:ilvl="0">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7204C89"/>
    <w:multiLevelType w:val="hybridMultilevel"/>
    <w:tmpl w:val="C3C27354"/>
    <w:lvl w:ilvl="0" w:tplc="3D3CB84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2575D0"/>
    <w:multiLevelType w:val="multilevel"/>
    <w:tmpl w:val="BD82D154"/>
    <w:lvl w:ilvl="0">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4.%2.%3"/>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49337A2F"/>
    <w:multiLevelType w:val="hybridMultilevel"/>
    <w:tmpl w:val="14A44716"/>
    <w:lvl w:ilvl="0" w:tplc="8C32FC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4A7C2C60"/>
    <w:multiLevelType w:val="multilevel"/>
    <w:tmpl w:val="B4824CA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none"/>
      <w:lvlText w:val="2.2.1"/>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4AE45C3F"/>
    <w:multiLevelType w:val="multilevel"/>
    <w:tmpl w:val="9F10956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none"/>
      <w:lvlText w:val="3.3.1"/>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4B263550"/>
    <w:multiLevelType w:val="multilevel"/>
    <w:tmpl w:val="0410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4D1560B1"/>
    <w:multiLevelType w:val="hybridMultilevel"/>
    <w:tmpl w:val="65AAA3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538C7A16"/>
    <w:multiLevelType w:val="multilevel"/>
    <w:tmpl w:val="BD82D154"/>
    <w:lvl w:ilvl="0">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4.%2.%3"/>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54E23618"/>
    <w:multiLevelType w:val="hybridMultilevel"/>
    <w:tmpl w:val="926E05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4A3447"/>
    <w:multiLevelType w:val="multilevel"/>
    <w:tmpl w:val="BD82D154"/>
    <w:lvl w:ilvl="0">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4.%2.%3"/>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558F04DD"/>
    <w:multiLevelType w:val="hybridMultilevel"/>
    <w:tmpl w:val="786C4248"/>
    <w:lvl w:ilvl="0" w:tplc="E6AE498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55C824FD"/>
    <w:multiLevelType w:val="multilevel"/>
    <w:tmpl w:val="F1308312"/>
    <w:lvl w:ilvl="0">
      <w:numFmt w:val="decimal"/>
      <w:lvlText w:val="%1."/>
      <w:lvlJc w:val="left"/>
      <w:pPr>
        <w:ind w:left="360" w:hanging="360"/>
      </w:pPr>
      <w:rPr>
        <w:rFonts w:hint="default"/>
      </w:rPr>
    </w:lvl>
    <w:lvl w:ilvl="1">
      <w:start w:val="1"/>
      <w:numFmt w:val="none"/>
      <w:lvlText w:val="3."/>
      <w:lvlJc w:val="left"/>
      <w:pPr>
        <w:ind w:left="792" w:hanging="432"/>
      </w:pPr>
      <w:rPr>
        <w:rFonts w:hint="default"/>
        <w:lang w:val="en-GB"/>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8F31F6C"/>
    <w:multiLevelType w:val="hybridMultilevel"/>
    <w:tmpl w:val="5F8E63FE"/>
    <w:lvl w:ilvl="0" w:tplc="E6AE49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2E3319"/>
    <w:multiLevelType w:val="hybridMultilevel"/>
    <w:tmpl w:val="F726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AA5F60"/>
    <w:multiLevelType w:val="hybridMultilevel"/>
    <w:tmpl w:val="5A48E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5CD1193E"/>
    <w:multiLevelType w:val="hybridMultilevel"/>
    <w:tmpl w:val="3216DF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5DEC76BE"/>
    <w:multiLevelType w:val="multilevel"/>
    <w:tmpl w:val="4DFAEC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none"/>
      <w:lvlText w:val="2.2.1"/>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5E1C2252"/>
    <w:multiLevelType w:val="hybridMultilevel"/>
    <w:tmpl w:val="DCDEE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BD45D7"/>
    <w:multiLevelType w:val="hybridMultilevel"/>
    <w:tmpl w:val="2C529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5F3F39A7"/>
    <w:multiLevelType w:val="hybridMultilevel"/>
    <w:tmpl w:val="13CA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4A2C13"/>
    <w:multiLevelType w:val="multilevel"/>
    <w:tmpl w:val="167ABDE6"/>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75" w15:restartNumberingAfterBreak="0">
    <w:nsid w:val="63CA161D"/>
    <w:multiLevelType w:val="multilevel"/>
    <w:tmpl w:val="10B8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47D4D2B"/>
    <w:multiLevelType w:val="multilevel"/>
    <w:tmpl w:val="D32CD988"/>
    <w:lvl w:ilvl="0">
      <w:numFmt w:val="decimal"/>
      <w:lvlText w:val="%1."/>
      <w:lvlJc w:val="left"/>
      <w:pPr>
        <w:ind w:left="360" w:hanging="360"/>
      </w:pPr>
      <w:rPr>
        <w:rFonts w:hint="default"/>
      </w:rPr>
    </w:lvl>
    <w:lvl w:ilvl="1">
      <w:start w:val="1"/>
      <w:numFmt w:val="none"/>
      <w:lvlText w:val="2."/>
      <w:lvlJc w:val="left"/>
      <w:pPr>
        <w:ind w:left="792" w:hanging="432"/>
      </w:pPr>
      <w:rPr>
        <w:rFonts w:hint="default"/>
        <w:lang w:val="en-GB"/>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75024CA"/>
    <w:multiLevelType w:val="multilevel"/>
    <w:tmpl w:val="D3784034"/>
    <w:lvl w:ilvl="0">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4.%2.%3"/>
      <w:lvlJc w:val="left"/>
      <w:pPr>
        <w:ind w:left="720" w:hanging="720"/>
      </w:pPr>
      <w:rPr>
        <w:rFonts w:hint="default"/>
      </w:rPr>
    </w:lvl>
    <w:lvl w:ilvl="3">
      <w:start w:val="1"/>
      <w:numFmt w:val="none"/>
      <w:lvlText w:val="4.1.3.2"/>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8" w15:restartNumberingAfterBreak="0">
    <w:nsid w:val="685F5F18"/>
    <w:multiLevelType w:val="hybridMultilevel"/>
    <w:tmpl w:val="CE0A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725CA8"/>
    <w:multiLevelType w:val="hybridMultilevel"/>
    <w:tmpl w:val="4CACF10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683299"/>
    <w:multiLevelType w:val="hybridMultilevel"/>
    <w:tmpl w:val="A1747718"/>
    <w:lvl w:ilvl="0" w:tplc="5706ED0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A32529"/>
    <w:multiLevelType w:val="multilevel"/>
    <w:tmpl w:val="BD82D154"/>
    <w:lvl w:ilvl="0">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4.%2.%3"/>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2" w15:restartNumberingAfterBreak="0">
    <w:nsid w:val="6C037346"/>
    <w:multiLevelType w:val="multilevel"/>
    <w:tmpl w:val="AFC0F12E"/>
    <w:lvl w:ilvl="0">
      <w:numFmt w:val="decimal"/>
      <w:lvlText w:val="%1."/>
      <w:lvlJc w:val="left"/>
      <w:pPr>
        <w:ind w:left="360" w:hanging="360"/>
      </w:pPr>
      <w:rPr>
        <w:rFonts w:hint="default"/>
      </w:rPr>
    </w:lvl>
    <w:lvl w:ilvl="1">
      <w:start w:val="1"/>
      <w:numFmt w:val="none"/>
      <w:lvlText w:val="1."/>
      <w:lvlJc w:val="left"/>
      <w:pPr>
        <w:ind w:left="792" w:hanging="432"/>
      </w:pPr>
      <w:rPr>
        <w:rFonts w:hint="default"/>
        <w:lang w:val="en-GB"/>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C5252A9"/>
    <w:multiLevelType w:val="hybridMultilevel"/>
    <w:tmpl w:val="E87C6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727E1FA2"/>
    <w:multiLevelType w:val="hybridMultilevel"/>
    <w:tmpl w:val="8E1C32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72C41833"/>
    <w:multiLevelType w:val="hybridMultilevel"/>
    <w:tmpl w:val="391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34592C"/>
    <w:multiLevelType w:val="hybridMultilevel"/>
    <w:tmpl w:val="BF827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4D2DD7"/>
    <w:multiLevelType w:val="hybridMultilevel"/>
    <w:tmpl w:val="BBCC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4522DEA"/>
    <w:multiLevelType w:val="multilevel"/>
    <w:tmpl w:val="3364E64E"/>
    <w:lvl w:ilvl="0">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4.%2.%3"/>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772102CD"/>
    <w:multiLevelType w:val="hybridMultilevel"/>
    <w:tmpl w:val="3B9E9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77536DFE"/>
    <w:multiLevelType w:val="hybridMultilevel"/>
    <w:tmpl w:val="294EFD10"/>
    <w:lvl w:ilvl="0" w:tplc="E5600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78A4DD9"/>
    <w:multiLevelType w:val="hybridMultilevel"/>
    <w:tmpl w:val="27241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7A00444"/>
    <w:multiLevelType w:val="multilevel"/>
    <w:tmpl w:val="C0C82C22"/>
    <w:lvl w:ilvl="0">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3" w15:restartNumberingAfterBreak="0">
    <w:nsid w:val="789D6107"/>
    <w:multiLevelType w:val="hybridMultilevel"/>
    <w:tmpl w:val="28325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79DF37D9"/>
    <w:multiLevelType w:val="hybridMultilevel"/>
    <w:tmpl w:val="8FA6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A626381"/>
    <w:multiLevelType w:val="multilevel"/>
    <w:tmpl w:val="8A88FD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4.%2.%3"/>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6" w15:restartNumberingAfterBreak="0">
    <w:nsid w:val="7ADB7892"/>
    <w:multiLevelType w:val="hybridMultilevel"/>
    <w:tmpl w:val="9AE27816"/>
    <w:lvl w:ilvl="0" w:tplc="8908676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BCF18E7"/>
    <w:multiLevelType w:val="multilevel"/>
    <w:tmpl w:val="B1C460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none"/>
      <w:lvlText w:val="2.3.1"/>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8" w15:restartNumberingAfterBreak="0">
    <w:nsid w:val="7BEC7224"/>
    <w:multiLevelType w:val="multilevel"/>
    <w:tmpl w:val="BD82D154"/>
    <w:lvl w:ilvl="0">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4.%2.%3"/>
      <w:lvlJc w:val="left"/>
      <w:pPr>
        <w:ind w:left="720" w:hanging="720"/>
      </w:pPr>
      <w:rPr>
        <w:rFonts w:hint="default"/>
      </w:rPr>
    </w:lvl>
    <w:lvl w:ilvl="3">
      <w:start w:val="1"/>
      <w:numFmt w:val="none"/>
      <w:lvlText w:val="4.1.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9" w15:restartNumberingAfterBreak="0">
    <w:nsid w:val="7E955FEC"/>
    <w:multiLevelType w:val="hybridMultilevel"/>
    <w:tmpl w:val="36FA7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7EBA6B06"/>
    <w:multiLevelType w:val="hybridMultilevel"/>
    <w:tmpl w:val="0B9E11E8"/>
    <w:lvl w:ilvl="0" w:tplc="E6AE49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F8D22B0"/>
    <w:multiLevelType w:val="hybridMultilevel"/>
    <w:tmpl w:val="E534A92C"/>
    <w:lvl w:ilvl="0" w:tplc="3D3CB84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6"/>
  </w:num>
  <w:num w:numId="3">
    <w:abstractNumId w:val="39"/>
  </w:num>
  <w:num w:numId="4">
    <w:abstractNumId w:val="79"/>
  </w:num>
  <w:num w:numId="5">
    <w:abstractNumId w:val="39"/>
  </w:num>
  <w:num w:numId="6">
    <w:abstractNumId w:val="1"/>
  </w:num>
  <w:num w:numId="7">
    <w:abstractNumId w:val="8"/>
  </w:num>
  <w:num w:numId="8">
    <w:abstractNumId w:val="42"/>
  </w:num>
  <w:num w:numId="9">
    <w:abstractNumId w:val="52"/>
  </w:num>
  <w:num w:numId="10">
    <w:abstractNumId w:val="71"/>
  </w:num>
  <w:num w:numId="11">
    <w:abstractNumId w:val="43"/>
  </w:num>
  <w:num w:numId="12">
    <w:abstractNumId w:val="90"/>
  </w:num>
  <w:num w:numId="13">
    <w:abstractNumId w:val="96"/>
  </w:num>
  <w:num w:numId="14">
    <w:abstractNumId w:val="47"/>
  </w:num>
  <w:num w:numId="15">
    <w:abstractNumId w:val="16"/>
  </w:num>
  <w:num w:numId="16">
    <w:abstractNumId w:val="73"/>
  </w:num>
  <w:num w:numId="17">
    <w:abstractNumId w:val="3"/>
  </w:num>
  <w:num w:numId="18">
    <w:abstractNumId w:val="80"/>
  </w:num>
  <w:num w:numId="19">
    <w:abstractNumId w:val="9"/>
  </w:num>
  <w:num w:numId="20">
    <w:abstractNumId w:val="5"/>
  </w:num>
  <w:num w:numId="21">
    <w:abstractNumId w:val="4"/>
  </w:num>
  <w:num w:numId="22">
    <w:abstractNumId w:val="2"/>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7"/>
  </w:num>
  <w:num w:numId="26">
    <w:abstractNumId w:val="48"/>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00"/>
  </w:num>
  <w:num w:numId="30">
    <w:abstractNumId w:val="28"/>
  </w:num>
  <w:num w:numId="31">
    <w:abstractNumId w:val="7"/>
  </w:num>
  <w:num w:numId="32">
    <w:abstractNumId w:val="10"/>
  </w:num>
  <w:num w:numId="33">
    <w:abstractNumId w:val="32"/>
  </w:num>
  <w:num w:numId="34">
    <w:abstractNumId w:val="44"/>
  </w:num>
  <w:num w:numId="35">
    <w:abstractNumId w:val="67"/>
  </w:num>
  <w:num w:numId="36">
    <w:abstractNumId w:val="87"/>
  </w:num>
  <w:num w:numId="37">
    <w:abstractNumId w:val="75"/>
  </w:num>
  <w:num w:numId="38">
    <w:abstractNumId w:val="26"/>
  </w:num>
  <w:num w:numId="39">
    <w:abstractNumId w:val="24"/>
  </w:num>
  <w:num w:numId="40">
    <w:abstractNumId w:val="49"/>
  </w:num>
  <w:num w:numId="41">
    <w:abstractNumId w:val="78"/>
  </w:num>
  <w:num w:numId="42">
    <w:abstractNumId w:val="37"/>
  </w:num>
  <w:num w:numId="43">
    <w:abstractNumId w:val="18"/>
  </w:num>
  <w:num w:numId="44">
    <w:abstractNumId w:val="15"/>
  </w:num>
  <w:num w:numId="45">
    <w:abstractNumId w:val="25"/>
  </w:num>
  <w:num w:numId="46">
    <w:abstractNumId w:val="85"/>
  </w:num>
  <w:num w:numId="47">
    <w:abstractNumId w:val="13"/>
  </w:num>
  <w:num w:numId="48">
    <w:abstractNumId w:val="50"/>
  </w:num>
  <w:num w:numId="49">
    <w:abstractNumId w:val="31"/>
  </w:num>
  <w:num w:numId="50">
    <w:abstractNumId w:val="62"/>
  </w:num>
  <w:num w:numId="51">
    <w:abstractNumId w:val="19"/>
  </w:num>
  <w:num w:numId="52">
    <w:abstractNumId w:val="89"/>
  </w:num>
  <w:num w:numId="53">
    <w:abstractNumId w:val="54"/>
  </w:num>
  <w:num w:numId="54">
    <w:abstractNumId w:val="20"/>
  </w:num>
  <w:num w:numId="55">
    <w:abstractNumId w:val="101"/>
  </w:num>
  <w:num w:numId="56">
    <w:abstractNumId w:val="12"/>
  </w:num>
  <w:num w:numId="57">
    <w:abstractNumId w:val="86"/>
  </w:num>
  <w:num w:numId="58">
    <w:abstractNumId w:val="41"/>
  </w:num>
  <w:num w:numId="59">
    <w:abstractNumId w:val="60"/>
  </w:num>
  <w:num w:numId="60">
    <w:abstractNumId w:val="93"/>
  </w:num>
  <w:num w:numId="61">
    <w:abstractNumId w:val="35"/>
  </w:num>
  <w:num w:numId="62">
    <w:abstractNumId w:val="72"/>
  </w:num>
  <w:num w:numId="63">
    <w:abstractNumId w:val="34"/>
  </w:num>
  <w:num w:numId="64">
    <w:abstractNumId w:val="69"/>
  </w:num>
  <w:num w:numId="65">
    <w:abstractNumId w:val="74"/>
  </w:num>
  <w:num w:numId="66">
    <w:abstractNumId w:val="99"/>
  </w:num>
  <w:num w:numId="67">
    <w:abstractNumId w:val="53"/>
  </w:num>
  <w:num w:numId="6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num>
  <w:num w:numId="70">
    <w:abstractNumId w:val="23"/>
  </w:num>
  <w:num w:numId="71">
    <w:abstractNumId w:val="82"/>
  </w:num>
  <w:num w:numId="72">
    <w:abstractNumId w:val="76"/>
  </w:num>
  <w:num w:numId="73">
    <w:abstractNumId w:val="65"/>
  </w:num>
  <w:num w:numId="74">
    <w:abstractNumId w:val="33"/>
  </w:num>
  <w:num w:numId="75">
    <w:abstractNumId w:val="39"/>
    <w:lvlOverride w:ilvl="0">
      <w:startOverride w:val="1"/>
    </w:lvlOverride>
  </w:num>
  <w:num w:numId="76">
    <w:abstractNumId w:val="0"/>
  </w:num>
  <w:num w:numId="77">
    <w:abstractNumId w:val="21"/>
  </w:num>
  <w:num w:numId="7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0"/>
  </w:num>
  <w:num w:numId="80">
    <w:abstractNumId w:val="64"/>
  </w:num>
  <w:num w:numId="81">
    <w:abstractNumId w:val="56"/>
  </w:num>
  <w:num w:numId="82">
    <w:abstractNumId w:val="84"/>
  </w:num>
  <w:num w:numId="83">
    <w:abstractNumId w:val="68"/>
  </w:num>
  <w:num w:numId="84">
    <w:abstractNumId w:val="83"/>
  </w:num>
  <w:num w:numId="85">
    <w:abstractNumId w:val="94"/>
  </w:num>
  <w:num w:numId="86">
    <w:abstractNumId w:val="59"/>
  </w:num>
  <w:num w:numId="87">
    <w:abstractNumId w:val="36"/>
  </w:num>
  <w:num w:numId="88">
    <w:abstractNumId w:val="92"/>
  </w:num>
  <w:num w:numId="89">
    <w:abstractNumId w:val="51"/>
  </w:num>
  <w:num w:numId="90">
    <w:abstractNumId w:val="88"/>
  </w:num>
  <w:num w:numId="91">
    <w:abstractNumId w:val="40"/>
  </w:num>
  <w:num w:numId="92">
    <w:abstractNumId w:val="77"/>
  </w:num>
  <w:num w:numId="93">
    <w:abstractNumId w:val="17"/>
  </w:num>
  <w:num w:numId="94">
    <w:abstractNumId w:val="63"/>
  </w:num>
  <w:num w:numId="95">
    <w:abstractNumId w:val="81"/>
  </w:num>
  <w:num w:numId="96">
    <w:abstractNumId w:val="98"/>
  </w:num>
  <w:num w:numId="97">
    <w:abstractNumId w:val="55"/>
  </w:num>
  <w:num w:numId="98">
    <w:abstractNumId w:val="61"/>
  </w:num>
  <w:num w:numId="99">
    <w:abstractNumId w:val="38"/>
  </w:num>
  <w:num w:numId="100">
    <w:abstractNumId w:val="95"/>
  </w:num>
  <w:num w:numId="101">
    <w:abstractNumId w:val="57"/>
  </w:num>
  <w:num w:numId="102">
    <w:abstractNumId w:val="46"/>
  </w:num>
  <w:num w:numId="103">
    <w:abstractNumId w:val="11"/>
  </w:num>
  <w:num w:numId="104">
    <w:abstractNumId w:val="97"/>
  </w:num>
  <w:num w:numId="105">
    <w:abstractNumId w:val="58"/>
  </w:num>
  <w:num w:numId="106">
    <w:abstractNumId w:val="45"/>
  </w:num>
  <w:num w:numId="107">
    <w:abstractNumId w:val="70"/>
  </w:num>
  <w:num w:numId="108">
    <w:abstractNumId w:val="9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fr-BE" w:vendorID="64" w:dllVersion="131078" w:nlCheck="1" w:checkStyle="0"/>
  <w:activeWritingStyle w:appName="MSWord" w:lang="en-IE"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74EA9"/>
    <w:rsid w:val="000012D9"/>
    <w:rsid w:val="00002749"/>
    <w:rsid w:val="00002A8D"/>
    <w:rsid w:val="00002D28"/>
    <w:rsid w:val="00004189"/>
    <w:rsid w:val="0000648C"/>
    <w:rsid w:val="0000696C"/>
    <w:rsid w:val="000077D5"/>
    <w:rsid w:val="000078DC"/>
    <w:rsid w:val="00007FF7"/>
    <w:rsid w:val="00010656"/>
    <w:rsid w:val="0001092F"/>
    <w:rsid w:val="000110C5"/>
    <w:rsid w:val="000118AF"/>
    <w:rsid w:val="00011A62"/>
    <w:rsid w:val="000126DE"/>
    <w:rsid w:val="00012E22"/>
    <w:rsid w:val="000138EA"/>
    <w:rsid w:val="000148E5"/>
    <w:rsid w:val="0001565D"/>
    <w:rsid w:val="000158C2"/>
    <w:rsid w:val="00015B5C"/>
    <w:rsid w:val="000162CD"/>
    <w:rsid w:val="00016DCF"/>
    <w:rsid w:val="00017306"/>
    <w:rsid w:val="00020F63"/>
    <w:rsid w:val="000211B6"/>
    <w:rsid w:val="00021AEE"/>
    <w:rsid w:val="00021E6C"/>
    <w:rsid w:val="00021F6D"/>
    <w:rsid w:val="0002380E"/>
    <w:rsid w:val="00024B4D"/>
    <w:rsid w:val="0002527E"/>
    <w:rsid w:val="00026497"/>
    <w:rsid w:val="000269FB"/>
    <w:rsid w:val="00027DA8"/>
    <w:rsid w:val="000309E3"/>
    <w:rsid w:val="00031242"/>
    <w:rsid w:val="000313E8"/>
    <w:rsid w:val="00031CBE"/>
    <w:rsid w:val="0003277C"/>
    <w:rsid w:val="00032904"/>
    <w:rsid w:val="000330AF"/>
    <w:rsid w:val="0003387B"/>
    <w:rsid w:val="0003423C"/>
    <w:rsid w:val="00034C6A"/>
    <w:rsid w:val="00034D71"/>
    <w:rsid w:val="0003500F"/>
    <w:rsid w:val="00035154"/>
    <w:rsid w:val="00035213"/>
    <w:rsid w:val="00035552"/>
    <w:rsid w:val="00035A3C"/>
    <w:rsid w:val="00035F0A"/>
    <w:rsid w:val="000362CE"/>
    <w:rsid w:val="000365DE"/>
    <w:rsid w:val="00037B4B"/>
    <w:rsid w:val="00037E60"/>
    <w:rsid w:val="0004070F"/>
    <w:rsid w:val="000411AF"/>
    <w:rsid w:val="000413E5"/>
    <w:rsid w:val="0004188F"/>
    <w:rsid w:val="000426FC"/>
    <w:rsid w:val="00042897"/>
    <w:rsid w:val="00043103"/>
    <w:rsid w:val="000442B4"/>
    <w:rsid w:val="00044B28"/>
    <w:rsid w:val="00044CBA"/>
    <w:rsid w:val="00045AF2"/>
    <w:rsid w:val="00045CEF"/>
    <w:rsid w:val="000460AD"/>
    <w:rsid w:val="00046233"/>
    <w:rsid w:val="00046E18"/>
    <w:rsid w:val="00047015"/>
    <w:rsid w:val="000476D2"/>
    <w:rsid w:val="0004794D"/>
    <w:rsid w:val="00047A2F"/>
    <w:rsid w:val="00047A95"/>
    <w:rsid w:val="00047B3C"/>
    <w:rsid w:val="0005024E"/>
    <w:rsid w:val="00051406"/>
    <w:rsid w:val="000517A8"/>
    <w:rsid w:val="00051BF7"/>
    <w:rsid w:val="0005203F"/>
    <w:rsid w:val="00052391"/>
    <w:rsid w:val="000539C2"/>
    <w:rsid w:val="000542E9"/>
    <w:rsid w:val="0005432B"/>
    <w:rsid w:val="00054499"/>
    <w:rsid w:val="000555B8"/>
    <w:rsid w:val="00055707"/>
    <w:rsid w:val="00055AA6"/>
    <w:rsid w:val="00055D6D"/>
    <w:rsid w:val="000562B9"/>
    <w:rsid w:val="000565F6"/>
    <w:rsid w:val="000568C3"/>
    <w:rsid w:val="00056987"/>
    <w:rsid w:val="0005701B"/>
    <w:rsid w:val="00060A97"/>
    <w:rsid w:val="00060CE3"/>
    <w:rsid w:val="0006116B"/>
    <w:rsid w:val="00061535"/>
    <w:rsid w:val="00061612"/>
    <w:rsid w:val="00064290"/>
    <w:rsid w:val="00064B11"/>
    <w:rsid w:val="00064C36"/>
    <w:rsid w:val="00065834"/>
    <w:rsid w:val="00065DBD"/>
    <w:rsid w:val="0006620D"/>
    <w:rsid w:val="00066BD0"/>
    <w:rsid w:val="00066CDF"/>
    <w:rsid w:val="0006770B"/>
    <w:rsid w:val="00067CAA"/>
    <w:rsid w:val="000706B8"/>
    <w:rsid w:val="00072210"/>
    <w:rsid w:val="00072814"/>
    <w:rsid w:val="00072FFD"/>
    <w:rsid w:val="0007316C"/>
    <w:rsid w:val="000738F1"/>
    <w:rsid w:val="00073D33"/>
    <w:rsid w:val="00074E79"/>
    <w:rsid w:val="00075259"/>
    <w:rsid w:val="000752C4"/>
    <w:rsid w:val="000761AC"/>
    <w:rsid w:val="00076ED6"/>
    <w:rsid w:val="000771A5"/>
    <w:rsid w:val="000772DE"/>
    <w:rsid w:val="00077D0F"/>
    <w:rsid w:val="00077D4D"/>
    <w:rsid w:val="00077DCF"/>
    <w:rsid w:val="00081805"/>
    <w:rsid w:val="000819C3"/>
    <w:rsid w:val="00081BE0"/>
    <w:rsid w:val="000822A4"/>
    <w:rsid w:val="0008236D"/>
    <w:rsid w:val="00082736"/>
    <w:rsid w:val="000829D7"/>
    <w:rsid w:val="00082A34"/>
    <w:rsid w:val="00082D21"/>
    <w:rsid w:val="00083387"/>
    <w:rsid w:val="00083BDA"/>
    <w:rsid w:val="00084226"/>
    <w:rsid w:val="00085013"/>
    <w:rsid w:val="000858F3"/>
    <w:rsid w:val="00085CFC"/>
    <w:rsid w:val="00085D90"/>
    <w:rsid w:val="000873A9"/>
    <w:rsid w:val="0009042B"/>
    <w:rsid w:val="00091F60"/>
    <w:rsid w:val="000920D7"/>
    <w:rsid w:val="000922CD"/>
    <w:rsid w:val="0009261A"/>
    <w:rsid w:val="0009277B"/>
    <w:rsid w:val="000939AE"/>
    <w:rsid w:val="00093AB8"/>
    <w:rsid w:val="00093EDA"/>
    <w:rsid w:val="00095352"/>
    <w:rsid w:val="00095B0F"/>
    <w:rsid w:val="00096DCC"/>
    <w:rsid w:val="00096FC0"/>
    <w:rsid w:val="000971FA"/>
    <w:rsid w:val="00097A18"/>
    <w:rsid w:val="00097E08"/>
    <w:rsid w:val="000A1444"/>
    <w:rsid w:val="000A1624"/>
    <w:rsid w:val="000A2563"/>
    <w:rsid w:val="000A2664"/>
    <w:rsid w:val="000A2833"/>
    <w:rsid w:val="000A2DBE"/>
    <w:rsid w:val="000A319F"/>
    <w:rsid w:val="000A47E9"/>
    <w:rsid w:val="000A4C09"/>
    <w:rsid w:val="000A4F95"/>
    <w:rsid w:val="000A5142"/>
    <w:rsid w:val="000A5590"/>
    <w:rsid w:val="000A57EE"/>
    <w:rsid w:val="000A5DC5"/>
    <w:rsid w:val="000A5F07"/>
    <w:rsid w:val="000A6D7B"/>
    <w:rsid w:val="000A6F4E"/>
    <w:rsid w:val="000A7248"/>
    <w:rsid w:val="000A79E0"/>
    <w:rsid w:val="000B03D3"/>
    <w:rsid w:val="000B1A3A"/>
    <w:rsid w:val="000B1B4D"/>
    <w:rsid w:val="000B2431"/>
    <w:rsid w:val="000B4257"/>
    <w:rsid w:val="000B5575"/>
    <w:rsid w:val="000B5C36"/>
    <w:rsid w:val="000B7770"/>
    <w:rsid w:val="000C0660"/>
    <w:rsid w:val="000C079F"/>
    <w:rsid w:val="000C0CDE"/>
    <w:rsid w:val="000C1487"/>
    <w:rsid w:val="000C1A20"/>
    <w:rsid w:val="000C1EF5"/>
    <w:rsid w:val="000C263D"/>
    <w:rsid w:val="000C27B5"/>
    <w:rsid w:val="000C29E0"/>
    <w:rsid w:val="000C3210"/>
    <w:rsid w:val="000C3836"/>
    <w:rsid w:val="000C461E"/>
    <w:rsid w:val="000C4D1C"/>
    <w:rsid w:val="000C53C0"/>
    <w:rsid w:val="000C59A9"/>
    <w:rsid w:val="000C6A70"/>
    <w:rsid w:val="000D0B77"/>
    <w:rsid w:val="000D1265"/>
    <w:rsid w:val="000D2547"/>
    <w:rsid w:val="000D2E4A"/>
    <w:rsid w:val="000D404E"/>
    <w:rsid w:val="000D576E"/>
    <w:rsid w:val="000D5C3C"/>
    <w:rsid w:val="000D6489"/>
    <w:rsid w:val="000D6FE1"/>
    <w:rsid w:val="000E04B9"/>
    <w:rsid w:val="000E201D"/>
    <w:rsid w:val="000E3C23"/>
    <w:rsid w:val="000E4055"/>
    <w:rsid w:val="000E412B"/>
    <w:rsid w:val="000E4513"/>
    <w:rsid w:val="000E5848"/>
    <w:rsid w:val="000E58E6"/>
    <w:rsid w:val="000E5CA5"/>
    <w:rsid w:val="000E65A0"/>
    <w:rsid w:val="000E681F"/>
    <w:rsid w:val="000E76CD"/>
    <w:rsid w:val="000E7A42"/>
    <w:rsid w:val="000F0275"/>
    <w:rsid w:val="000F13AB"/>
    <w:rsid w:val="000F2517"/>
    <w:rsid w:val="000F26D3"/>
    <w:rsid w:val="000F27A6"/>
    <w:rsid w:val="000F2D2B"/>
    <w:rsid w:val="000F33FC"/>
    <w:rsid w:val="000F34ED"/>
    <w:rsid w:val="000F3796"/>
    <w:rsid w:val="000F37E5"/>
    <w:rsid w:val="000F381C"/>
    <w:rsid w:val="000F4997"/>
    <w:rsid w:val="000F5918"/>
    <w:rsid w:val="000F5C90"/>
    <w:rsid w:val="000F5F61"/>
    <w:rsid w:val="000F6BD4"/>
    <w:rsid w:val="000F711A"/>
    <w:rsid w:val="000F793A"/>
    <w:rsid w:val="001002F7"/>
    <w:rsid w:val="0010098B"/>
    <w:rsid w:val="00100BD4"/>
    <w:rsid w:val="00101548"/>
    <w:rsid w:val="00101D43"/>
    <w:rsid w:val="00101DE4"/>
    <w:rsid w:val="00102218"/>
    <w:rsid w:val="0010383A"/>
    <w:rsid w:val="00103E70"/>
    <w:rsid w:val="00104BAE"/>
    <w:rsid w:val="00104F25"/>
    <w:rsid w:val="00105606"/>
    <w:rsid w:val="001058DB"/>
    <w:rsid w:val="00105E3B"/>
    <w:rsid w:val="001067FD"/>
    <w:rsid w:val="001068C3"/>
    <w:rsid w:val="00107367"/>
    <w:rsid w:val="0010768D"/>
    <w:rsid w:val="001100B3"/>
    <w:rsid w:val="001100E4"/>
    <w:rsid w:val="0011036D"/>
    <w:rsid w:val="00110A1D"/>
    <w:rsid w:val="00111B6A"/>
    <w:rsid w:val="001135CB"/>
    <w:rsid w:val="00113D97"/>
    <w:rsid w:val="00115798"/>
    <w:rsid w:val="001166E4"/>
    <w:rsid w:val="001167F1"/>
    <w:rsid w:val="00117490"/>
    <w:rsid w:val="00117B1D"/>
    <w:rsid w:val="00120B60"/>
    <w:rsid w:val="00121458"/>
    <w:rsid w:val="001225A8"/>
    <w:rsid w:val="0012291F"/>
    <w:rsid w:val="00123076"/>
    <w:rsid w:val="001235E3"/>
    <w:rsid w:val="00123E81"/>
    <w:rsid w:val="0012468D"/>
    <w:rsid w:val="0012505A"/>
    <w:rsid w:val="00125075"/>
    <w:rsid w:val="00125B49"/>
    <w:rsid w:val="00126329"/>
    <w:rsid w:val="0012694D"/>
    <w:rsid w:val="00127BE6"/>
    <w:rsid w:val="001304BB"/>
    <w:rsid w:val="00130508"/>
    <w:rsid w:val="00130B85"/>
    <w:rsid w:val="001310A5"/>
    <w:rsid w:val="001315E7"/>
    <w:rsid w:val="001318F4"/>
    <w:rsid w:val="00131C8E"/>
    <w:rsid w:val="00132629"/>
    <w:rsid w:val="00132C78"/>
    <w:rsid w:val="00133D21"/>
    <w:rsid w:val="00134261"/>
    <w:rsid w:val="00134C92"/>
    <w:rsid w:val="00134CA7"/>
    <w:rsid w:val="00135653"/>
    <w:rsid w:val="001360DC"/>
    <w:rsid w:val="0013662A"/>
    <w:rsid w:val="001371FE"/>
    <w:rsid w:val="00137AB7"/>
    <w:rsid w:val="00137CFE"/>
    <w:rsid w:val="00137D00"/>
    <w:rsid w:val="00140D88"/>
    <w:rsid w:val="0014129F"/>
    <w:rsid w:val="001416C1"/>
    <w:rsid w:val="00141A88"/>
    <w:rsid w:val="00142224"/>
    <w:rsid w:val="00142225"/>
    <w:rsid w:val="0014243A"/>
    <w:rsid w:val="00142FFC"/>
    <w:rsid w:val="001439ED"/>
    <w:rsid w:val="001445BD"/>
    <w:rsid w:val="0014490C"/>
    <w:rsid w:val="00144F3D"/>
    <w:rsid w:val="00145701"/>
    <w:rsid w:val="001457A6"/>
    <w:rsid w:val="0014593E"/>
    <w:rsid w:val="00146445"/>
    <w:rsid w:val="00146890"/>
    <w:rsid w:val="00146B00"/>
    <w:rsid w:val="001507EB"/>
    <w:rsid w:val="00151113"/>
    <w:rsid w:val="00152072"/>
    <w:rsid w:val="00152D52"/>
    <w:rsid w:val="00153624"/>
    <w:rsid w:val="001536E6"/>
    <w:rsid w:val="00153D35"/>
    <w:rsid w:val="001546A1"/>
    <w:rsid w:val="00154F80"/>
    <w:rsid w:val="00155B09"/>
    <w:rsid w:val="00155FA1"/>
    <w:rsid w:val="00157635"/>
    <w:rsid w:val="00157FC7"/>
    <w:rsid w:val="001617A2"/>
    <w:rsid w:val="00161E2F"/>
    <w:rsid w:val="001622D7"/>
    <w:rsid w:val="00162DD7"/>
    <w:rsid w:val="00162F4A"/>
    <w:rsid w:val="00163057"/>
    <w:rsid w:val="001633DB"/>
    <w:rsid w:val="00163DF1"/>
    <w:rsid w:val="00164AD2"/>
    <w:rsid w:val="001673DE"/>
    <w:rsid w:val="00171EA3"/>
    <w:rsid w:val="00172767"/>
    <w:rsid w:val="0017279B"/>
    <w:rsid w:val="00173586"/>
    <w:rsid w:val="00173682"/>
    <w:rsid w:val="00173AED"/>
    <w:rsid w:val="001744CE"/>
    <w:rsid w:val="00175530"/>
    <w:rsid w:val="00175BFF"/>
    <w:rsid w:val="00175E9F"/>
    <w:rsid w:val="00176151"/>
    <w:rsid w:val="001761FD"/>
    <w:rsid w:val="001772C2"/>
    <w:rsid w:val="00177445"/>
    <w:rsid w:val="001800C1"/>
    <w:rsid w:val="00180632"/>
    <w:rsid w:val="00180B90"/>
    <w:rsid w:val="001813BB"/>
    <w:rsid w:val="001817A4"/>
    <w:rsid w:val="00181CDE"/>
    <w:rsid w:val="0018246D"/>
    <w:rsid w:val="001825A4"/>
    <w:rsid w:val="001837A8"/>
    <w:rsid w:val="001838CC"/>
    <w:rsid w:val="0018518C"/>
    <w:rsid w:val="00185632"/>
    <w:rsid w:val="00185908"/>
    <w:rsid w:val="00185F04"/>
    <w:rsid w:val="00187198"/>
    <w:rsid w:val="00187E08"/>
    <w:rsid w:val="001900D8"/>
    <w:rsid w:val="001914E4"/>
    <w:rsid w:val="00191D5E"/>
    <w:rsid w:val="00191E16"/>
    <w:rsid w:val="0019221B"/>
    <w:rsid w:val="001927EA"/>
    <w:rsid w:val="00195790"/>
    <w:rsid w:val="00195928"/>
    <w:rsid w:val="00195977"/>
    <w:rsid w:val="00195DE2"/>
    <w:rsid w:val="00197846"/>
    <w:rsid w:val="00197A59"/>
    <w:rsid w:val="001A0CC6"/>
    <w:rsid w:val="001A189A"/>
    <w:rsid w:val="001A1C71"/>
    <w:rsid w:val="001A2078"/>
    <w:rsid w:val="001A27FF"/>
    <w:rsid w:val="001A2983"/>
    <w:rsid w:val="001A37B8"/>
    <w:rsid w:val="001A4103"/>
    <w:rsid w:val="001A4DA5"/>
    <w:rsid w:val="001A4FE1"/>
    <w:rsid w:val="001A5B18"/>
    <w:rsid w:val="001A603E"/>
    <w:rsid w:val="001A6A66"/>
    <w:rsid w:val="001A6B5C"/>
    <w:rsid w:val="001A6C2B"/>
    <w:rsid w:val="001B0224"/>
    <w:rsid w:val="001B0548"/>
    <w:rsid w:val="001B0C05"/>
    <w:rsid w:val="001B118A"/>
    <w:rsid w:val="001B294F"/>
    <w:rsid w:val="001B2E9E"/>
    <w:rsid w:val="001B3FE9"/>
    <w:rsid w:val="001B44AE"/>
    <w:rsid w:val="001B53F5"/>
    <w:rsid w:val="001B589F"/>
    <w:rsid w:val="001B71FE"/>
    <w:rsid w:val="001B7200"/>
    <w:rsid w:val="001B7610"/>
    <w:rsid w:val="001B7F1E"/>
    <w:rsid w:val="001C0737"/>
    <w:rsid w:val="001C18BD"/>
    <w:rsid w:val="001C3790"/>
    <w:rsid w:val="001C57D2"/>
    <w:rsid w:val="001C5C61"/>
    <w:rsid w:val="001D0C3F"/>
    <w:rsid w:val="001D22A1"/>
    <w:rsid w:val="001D3314"/>
    <w:rsid w:val="001D3FF7"/>
    <w:rsid w:val="001D442C"/>
    <w:rsid w:val="001D46A8"/>
    <w:rsid w:val="001D4DB3"/>
    <w:rsid w:val="001D585F"/>
    <w:rsid w:val="001D59E8"/>
    <w:rsid w:val="001D5A33"/>
    <w:rsid w:val="001D5B85"/>
    <w:rsid w:val="001D5F8A"/>
    <w:rsid w:val="001D651A"/>
    <w:rsid w:val="001D677C"/>
    <w:rsid w:val="001D6E27"/>
    <w:rsid w:val="001D71A1"/>
    <w:rsid w:val="001D72ED"/>
    <w:rsid w:val="001D7F36"/>
    <w:rsid w:val="001E019A"/>
    <w:rsid w:val="001E07FF"/>
    <w:rsid w:val="001E13E7"/>
    <w:rsid w:val="001E1809"/>
    <w:rsid w:val="001E1BE1"/>
    <w:rsid w:val="001E243C"/>
    <w:rsid w:val="001E258A"/>
    <w:rsid w:val="001E2C44"/>
    <w:rsid w:val="001E36D3"/>
    <w:rsid w:val="001E39CC"/>
    <w:rsid w:val="001E41BC"/>
    <w:rsid w:val="001E45B5"/>
    <w:rsid w:val="001E4A8D"/>
    <w:rsid w:val="001E4EFD"/>
    <w:rsid w:val="001E5101"/>
    <w:rsid w:val="001E512D"/>
    <w:rsid w:val="001E59D0"/>
    <w:rsid w:val="001E5D7C"/>
    <w:rsid w:val="001E648A"/>
    <w:rsid w:val="001E6788"/>
    <w:rsid w:val="001F1476"/>
    <w:rsid w:val="001F25CC"/>
    <w:rsid w:val="001F2E3B"/>
    <w:rsid w:val="001F3A14"/>
    <w:rsid w:val="001F4459"/>
    <w:rsid w:val="001F6E6E"/>
    <w:rsid w:val="001F6E9A"/>
    <w:rsid w:val="001F6EC6"/>
    <w:rsid w:val="001F7217"/>
    <w:rsid w:val="0020019E"/>
    <w:rsid w:val="0020100F"/>
    <w:rsid w:val="00201103"/>
    <w:rsid w:val="002015E1"/>
    <w:rsid w:val="0020178E"/>
    <w:rsid w:val="002017EB"/>
    <w:rsid w:val="002018B7"/>
    <w:rsid w:val="002018F9"/>
    <w:rsid w:val="00201D8A"/>
    <w:rsid w:val="00202D5B"/>
    <w:rsid w:val="00203652"/>
    <w:rsid w:val="00204071"/>
    <w:rsid w:val="00204F2B"/>
    <w:rsid w:val="00205606"/>
    <w:rsid w:val="00206FC0"/>
    <w:rsid w:val="00207049"/>
    <w:rsid w:val="00207B68"/>
    <w:rsid w:val="00210B0C"/>
    <w:rsid w:val="00210DFF"/>
    <w:rsid w:val="00211284"/>
    <w:rsid w:val="00212775"/>
    <w:rsid w:val="00213A6B"/>
    <w:rsid w:val="002140E7"/>
    <w:rsid w:val="00214402"/>
    <w:rsid w:val="00214E3A"/>
    <w:rsid w:val="00214E6E"/>
    <w:rsid w:val="00215362"/>
    <w:rsid w:val="0021552D"/>
    <w:rsid w:val="00215FA3"/>
    <w:rsid w:val="00216E69"/>
    <w:rsid w:val="00217C5B"/>
    <w:rsid w:val="00220CE3"/>
    <w:rsid w:val="002214A0"/>
    <w:rsid w:val="002214C4"/>
    <w:rsid w:val="00221F68"/>
    <w:rsid w:val="002220B2"/>
    <w:rsid w:val="002227E7"/>
    <w:rsid w:val="00223542"/>
    <w:rsid w:val="00223BE6"/>
    <w:rsid w:val="002240AA"/>
    <w:rsid w:val="00225577"/>
    <w:rsid w:val="00227A08"/>
    <w:rsid w:val="00230BCD"/>
    <w:rsid w:val="00230EC4"/>
    <w:rsid w:val="002310F2"/>
    <w:rsid w:val="0023126C"/>
    <w:rsid w:val="00232958"/>
    <w:rsid w:val="00232C49"/>
    <w:rsid w:val="00232DD6"/>
    <w:rsid w:val="00232F6B"/>
    <w:rsid w:val="00233F06"/>
    <w:rsid w:val="002340B5"/>
    <w:rsid w:val="00234211"/>
    <w:rsid w:val="00235CE6"/>
    <w:rsid w:val="00236155"/>
    <w:rsid w:val="00236798"/>
    <w:rsid w:val="0024019D"/>
    <w:rsid w:val="002407AA"/>
    <w:rsid w:val="00240F35"/>
    <w:rsid w:val="00240F39"/>
    <w:rsid w:val="002429D0"/>
    <w:rsid w:val="00242BF2"/>
    <w:rsid w:val="002439DF"/>
    <w:rsid w:val="00244211"/>
    <w:rsid w:val="00244726"/>
    <w:rsid w:val="00245131"/>
    <w:rsid w:val="00245CA7"/>
    <w:rsid w:val="00246AE2"/>
    <w:rsid w:val="00247917"/>
    <w:rsid w:val="00247A5E"/>
    <w:rsid w:val="002500F0"/>
    <w:rsid w:val="00251041"/>
    <w:rsid w:val="0025159C"/>
    <w:rsid w:val="00252088"/>
    <w:rsid w:val="002524F6"/>
    <w:rsid w:val="00252DFD"/>
    <w:rsid w:val="002534E6"/>
    <w:rsid w:val="002547DD"/>
    <w:rsid w:val="00256431"/>
    <w:rsid w:val="002569A6"/>
    <w:rsid w:val="00256F9D"/>
    <w:rsid w:val="0025704A"/>
    <w:rsid w:val="002571A8"/>
    <w:rsid w:val="002574D5"/>
    <w:rsid w:val="002577AE"/>
    <w:rsid w:val="00257BDF"/>
    <w:rsid w:val="00257C6A"/>
    <w:rsid w:val="00260942"/>
    <w:rsid w:val="002609A5"/>
    <w:rsid w:val="00260BE2"/>
    <w:rsid w:val="00261673"/>
    <w:rsid w:val="00261C83"/>
    <w:rsid w:val="00261D62"/>
    <w:rsid w:val="0026309A"/>
    <w:rsid w:val="002633DE"/>
    <w:rsid w:val="00263881"/>
    <w:rsid w:val="00263954"/>
    <w:rsid w:val="00263CB5"/>
    <w:rsid w:val="0026431B"/>
    <w:rsid w:val="0026452B"/>
    <w:rsid w:val="00264C8F"/>
    <w:rsid w:val="00264DB8"/>
    <w:rsid w:val="0026508B"/>
    <w:rsid w:val="00265D2C"/>
    <w:rsid w:val="00267772"/>
    <w:rsid w:val="002711CE"/>
    <w:rsid w:val="00271B18"/>
    <w:rsid w:val="00271D7F"/>
    <w:rsid w:val="002720C4"/>
    <w:rsid w:val="00272394"/>
    <w:rsid w:val="0027301D"/>
    <w:rsid w:val="00274E90"/>
    <w:rsid w:val="00275193"/>
    <w:rsid w:val="002764F3"/>
    <w:rsid w:val="0027678F"/>
    <w:rsid w:val="00276931"/>
    <w:rsid w:val="00276CE0"/>
    <w:rsid w:val="00277913"/>
    <w:rsid w:val="00277A9A"/>
    <w:rsid w:val="00280948"/>
    <w:rsid w:val="002811F0"/>
    <w:rsid w:val="00281C9E"/>
    <w:rsid w:val="00281FC8"/>
    <w:rsid w:val="002823DD"/>
    <w:rsid w:val="0028369F"/>
    <w:rsid w:val="002838C0"/>
    <w:rsid w:val="00283F5B"/>
    <w:rsid w:val="002841A1"/>
    <w:rsid w:val="0028474B"/>
    <w:rsid w:val="002847D1"/>
    <w:rsid w:val="00284E9C"/>
    <w:rsid w:val="00287DE5"/>
    <w:rsid w:val="00287EE1"/>
    <w:rsid w:val="00287F69"/>
    <w:rsid w:val="0029013B"/>
    <w:rsid w:val="002903DE"/>
    <w:rsid w:val="00290690"/>
    <w:rsid w:val="00290E56"/>
    <w:rsid w:val="002918C7"/>
    <w:rsid w:val="00291D56"/>
    <w:rsid w:val="00291E03"/>
    <w:rsid w:val="0029320E"/>
    <w:rsid w:val="00293E1D"/>
    <w:rsid w:val="0029403A"/>
    <w:rsid w:val="002943FD"/>
    <w:rsid w:val="00296785"/>
    <w:rsid w:val="00297585"/>
    <w:rsid w:val="002975B2"/>
    <w:rsid w:val="002A08EB"/>
    <w:rsid w:val="002A0A4D"/>
    <w:rsid w:val="002A32E3"/>
    <w:rsid w:val="002A35A3"/>
    <w:rsid w:val="002A372E"/>
    <w:rsid w:val="002A3ED6"/>
    <w:rsid w:val="002A4E1A"/>
    <w:rsid w:val="002A5C64"/>
    <w:rsid w:val="002A5EB5"/>
    <w:rsid w:val="002A6811"/>
    <w:rsid w:val="002A6845"/>
    <w:rsid w:val="002A7576"/>
    <w:rsid w:val="002B00A0"/>
    <w:rsid w:val="002B04C9"/>
    <w:rsid w:val="002B0ABE"/>
    <w:rsid w:val="002B0D3F"/>
    <w:rsid w:val="002B178D"/>
    <w:rsid w:val="002B1A9C"/>
    <w:rsid w:val="002B25A0"/>
    <w:rsid w:val="002B2BA1"/>
    <w:rsid w:val="002B531E"/>
    <w:rsid w:val="002B6BA0"/>
    <w:rsid w:val="002B6E12"/>
    <w:rsid w:val="002B7BB6"/>
    <w:rsid w:val="002C087E"/>
    <w:rsid w:val="002C09B4"/>
    <w:rsid w:val="002C0B9F"/>
    <w:rsid w:val="002C0F6F"/>
    <w:rsid w:val="002C1038"/>
    <w:rsid w:val="002C2BFF"/>
    <w:rsid w:val="002C4592"/>
    <w:rsid w:val="002C4BF3"/>
    <w:rsid w:val="002C610C"/>
    <w:rsid w:val="002C628D"/>
    <w:rsid w:val="002C7AC9"/>
    <w:rsid w:val="002C7BBD"/>
    <w:rsid w:val="002C7E3A"/>
    <w:rsid w:val="002D05AA"/>
    <w:rsid w:val="002D06A3"/>
    <w:rsid w:val="002D1EB2"/>
    <w:rsid w:val="002D3226"/>
    <w:rsid w:val="002D4770"/>
    <w:rsid w:val="002D4AF3"/>
    <w:rsid w:val="002D4F30"/>
    <w:rsid w:val="002D6096"/>
    <w:rsid w:val="002D7AF2"/>
    <w:rsid w:val="002D7DDD"/>
    <w:rsid w:val="002E0AAE"/>
    <w:rsid w:val="002E14CA"/>
    <w:rsid w:val="002E15CA"/>
    <w:rsid w:val="002E1B04"/>
    <w:rsid w:val="002E1C55"/>
    <w:rsid w:val="002E231D"/>
    <w:rsid w:val="002E23DA"/>
    <w:rsid w:val="002E3BFC"/>
    <w:rsid w:val="002E3C60"/>
    <w:rsid w:val="002E3E6D"/>
    <w:rsid w:val="002E3EAA"/>
    <w:rsid w:val="002E411C"/>
    <w:rsid w:val="002E5004"/>
    <w:rsid w:val="002E515A"/>
    <w:rsid w:val="002E558C"/>
    <w:rsid w:val="002E56A1"/>
    <w:rsid w:val="002E58BF"/>
    <w:rsid w:val="002E5ACB"/>
    <w:rsid w:val="002E6DD1"/>
    <w:rsid w:val="002E71E6"/>
    <w:rsid w:val="002F1428"/>
    <w:rsid w:val="002F28FF"/>
    <w:rsid w:val="002F3BD3"/>
    <w:rsid w:val="002F3C33"/>
    <w:rsid w:val="002F452B"/>
    <w:rsid w:val="002F4C51"/>
    <w:rsid w:val="002F59BC"/>
    <w:rsid w:val="002F59EF"/>
    <w:rsid w:val="002F5C64"/>
    <w:rsid w:val="002F60A7"/>
    <w:rsid w:val="002F75CB"/>
    <w:rsid w:val="0030165E"/>
    <w:rsid w:val="003029C0"/>
    <w:rsid w:val="00302DD1"/>
    <w:rsid w:val="00302DF7"/>
    <w:rsid w:val="003031E0"/>
    <w:rsid w:val="00303380"/>
    <w:rsid w:val="00303710"/>
    <w:rsid w:val="00304CD8"/>
    <w:rsid w:val="00305245"/>
    <w:rsid w:val="003054CE"/>
    <w:rsid w:val="00305DCA"/>
    <w:rsid w:val="003063FA"/>
    <w:rsid w:val="003072B5"/>
    <w:rsid w:val="0030759D"/>
    <w:rsid w:val="00307BED"/>
    <w:rsid w:val="00310E2A"/>
    <w:rsid w:val="00310E49"/>
    <w:rsid w:val="00312864"/>
    <w:rsid w:val="00312DF9"/>
    <w:rsid w:val="00313061"/>
    <w:rsid w:val="00313852"/>
    <w:rsid w:val="00313954"/>
    <w:rsid w:val="003147D6"/>
    <w:rsid w:val="003147E3"/>
    <w:rsid w:val="00316CF9"/>
    <w:rsid w:val="0031700C"/>
    <w:rsid w:val="003207A6"/>
    <w:rsid w:val="00320C18"/>
    <w:rsid w:val="00320D4C"/>
    <w:rsid w:val="00320E4B"/>
    <w:rsid w:val="00321917"/>
    <w:rsid w:val="00321E36"/>
    <w:rsid w:val="003224D5"/>
    <w:rsid w:val="00322C67"/>
    <w:rsid w:val="0032381C"/>
    <w:rsid w:val="00323F63"/>
    <w:rsid w:val="00323FED"/>
    <w:rsid w:val="003247A9"/>
    <w:rsid w:val="003250CE"/>
    <w:rsid w:val="0032549D"/>
    <w:rsid w:val="00326EBA"/>
    <w:rsid w:val="003276F5"/>
    <w:rsid w:val="00330083"/>
    <w:rsid w:val="003301C9"/>
    <w:rsid w:val="003304EC"/>
    <w:rsid w:val="0033066C"/>
    <w:rsid w:val="003307A8"/>
    <w:rsid w:val="00330814"/>
    <w:rsid w:val="003313E4"/>
    <w:rsid w:val="0033171E"/>
    <w:rsid w:val="00331E9E"/>
    <w:rsid w:val="00331F24"/>
    <w:rsid w:val="00331F7C"/>
    <w:rsid w:val="00331F9A"/>
    <w:rsid w:val="003328C4"/>
    <w:rsid w:val="00333E39"/>
    <w:rsid w:val="00334EDD"/>
    <w:rsid w:val="00335105"/>
    <w:rsid w:val="00335168"/>
    <w:rsid w:val="00335C3A"/>
    <w:rsid w:val="003364A6"/>
    <w:rsid w:val="003364F2"/>
    <w:rsid w:val="00336ACF"/>
    <w:rsid w:val="00336C8E"/>
    <w:rsid w:val="00337EE5"/>
    <w:rsid w:val="003402C6"/>
    <w:rsid w:val="0034048F"/>
    <w:rsid w:val="0034055C"/>
    <w:rsid w:val="00340653"/>
    <w:rsid w:val="00340AF9"/>
    <w:rsid w:val="0034167F"/>
    <w:rsid w:val="00341867"/>
    <w:rsid w:val="00341A37"/>
    <w:rsid w:val="00342C25"/>
    <w:rsid w:val="00342DC1"/>
    <w:rsid w:val="0034307D"/>
    <w:rsid w:val="00343150"/>
    <w:rsid w:val="00343D22"/>
    <w:rsid w:val="003449ED"/>
    <w:rsid w:val="00345914"/>
    <w:rsid w:val="00345D1C"/>
    <w:rsid w:val="0034628A"/>
    <w:rsid w:val="00346DC4"/>
    <w:rsid w:val="00346ED4"/>
    <w:rsid w:val="00347299"/>
    <w:rsid w:val="00350418"/>
    <w:rsid w:val="00350C84"/>
    <w:rsid w:val="00352196"/>
    <w:rsid w:val="003529AE"/>
    <w:rsid w:val="00354934"/>
    <w:rsid w:val="00354DE4"/>
    <w:rsid w:val="00355D4B"/>
    <w:rsid w:val="0035739A"/>
    <w:rsid w:val="0036078B"/>
    <w:rsid w:val="003639E3"/>
    <w:rsid w:val="00364DF8"/>
    <w:rsid w:val="0036544D"/>
    <w:rsid w:val="00365451"/>
    <w:rsid w:val="0036593C"/>
    <w:rsid w:val="003665A8"/>
    <w:rsid w:val="00367473"/>
    <w:rsid w:val="00367F4E"/>
    <w:rsid w:val="00370F41"/>
    <w:rsid w:val="00371DA7"/>
    <w:rsid w:val="00372D60"/>
    <w:rsid w:val="00374434"/>
    <w:rsid w:val="0037575C"/>
    <w:rsid w:val="00375A9D"/>
    <w:rsid w:val="00375BC3"/>
    <w:rsid w:val="00377871"/>
    <w:rsid w:val="0038059F"/>
    <w:rsid w:val="00380973"/>
    <w:rsid w:val="00381BFE"/>
    <w:rsid w:val="00382DD4"/>
    <w:rsid w:val="00382F56"/>
    <w:rsid w:val="00383321"/>
    <w:rsid w:val="00383380"/>
    <w:rsid w:val="00383523"/>
    <w:rsid w:val="00383C61"/>
    <w:rsid w:val="00383E0B"/>
    <w:rsid w:val="0038430C"/>
    <w:rsid w:val="0038464C"/>
    <w:rsid w:val="003847F0"/>
    <w:rsid w:val="00384898"/>
    <w:rsid w:val="003850AE"/>
    <w:rsid w:val="00385B34"/>
    <w:rsid w:val="00385BDC"/>
    <w:rsid w:val="003863F5"/>
    <w:rsid w:val="0038707F"/>
    <w:rsid w:val="00387974"/>
    <w:rsid w:val="00387A01"/>
    <w:rsid w:val="003900BE"/>
    <w:rsid w:val="00390310"/>
    <w:rsid w:val="0039060F"/>
    <w:rsid w:val="00391037"/>
    <w:rsid w:val="0039137F"/>
    <w:rsid w:val="00392DC1"/>
    <w:rsid w:val="00392DE0"/>
    <w:rsid w:val="00392FFE"/>
    <w:rsid w:val="003933B3"/>
    <w:rsid w:val="0039431C"/>
    <w:rsid w:val="00395290"/>
    <w:rsid w:val="0039548D"/>
    <w:rsid w:val="003959B3"/>
    <w:rsid w:val="00395F47"/>
    <w:rsid w:val="0039666B"/>
    <w:rsid w:val="0039692F"/>
    <w:rsid w:val="003A0D72"/>
    <w:rsid w:val="003A0E6E"/>
    <w:rsid w:val="003A1713"/>
    <w:rsid w:val="003A1B0E"/>
    <w:rsid w:val="003A2819"/>
    <w:rsid w:val="003A2C54"/>
    <w:rsid w:val="003A3734"/>
    <w:rsid w:val="003A3770"/>
    <w:rsid w:val="003A5297"/>
    <w:rsid w:val="003A6048"/>
    <w:rsid w:val="003A6795"/>
    <w:rsid w:val="003B090A"/>
    <w:rsid w:val="003B0FAE"/>
    <w:rsid w:val="003B150E"/>
    <w:rsid w:val="003B190A"/>
    <w:rsid w:val="003B5CAA"/>
    <w:rsid w:val="003B69AA"/>
    <w:rsid w:val="003B6C5D"/>
    <w:rsid w:val="003B79F0"/>
    <w:rsid w:val="003B7C72"/>
    <w:rsid w:val="003B7CA7"/>
    <w:rsid w:val="003C05DF"/>
    <w:rsid w:val="003C08C3"/>
    <w:rsid w:val="003C15AE"/>
    <w:rsid w:val="003C1F24"/>
    <w:rsid w:val="003C20D3"/>
    <w:rsid w:val="003C2EE3"/>
    <w:rsid w:val="003C3053"/>
    <w:rsid w:val="003C3B29"/>
    <w:rsid w:val="003C4E87"/>
    <w:rsid w:val="003C57B9"/>
    <w:rsid w:val="003C5A7E"/>
    <w:rsid w:val="003C7232"/>
    <w:rsid w:val="003C7266"/>
    <w:rsid w:val="003C7721"/>
    <w:rsid w:val="003C7B4E"/>
    <w:rsid w:val="003D0854"/>
    <w:rsid w:val="003D0CDD"/>
    <w:rsid w:val="003D2660"/>
    <w:rsid w:val="003D2AF2"/>
    <w:rsid w:val="003D557E"/>
    <w:rsid w:val="003D5973"/>
    <w:rsid w:val="003D5B5B"/>
    <w:rsid w:val="003E1312"/>
    <w:rsid w:val="003E136F"/>
    <w:rsid w:val="003E1C73"/>
    <w:rsid w:val="003E26FD"/>
    <w:rsid w:val="003E279C"/>
    <w:rsid w:val="003E2C50"/>
    <w:rsid w:val="003E2ED6"/>
    <w:rsid w:val="003E333F"/>
    <w:rsid w:val="003E3751"/>
    <w:rsid w:val="003E4ACD"/>
    <w:rsid w:val="003E4FF7"/>
    <w:rsid w:val="003E52FA"/>
    <w:rsid w:val="003E56B2"/>
    <w:rsid w:val="003E5F2A"/>
    <w:rsid w:val="003E688B"/>
    <w:rsid w:val="003E6ACD"/>
    <w:rsid w:val="003E6D9F"/>
    <w:rsid w:val="003E7AAA"/>
    <w:rsid w:val="003E7CD0"/>
    <w:rsid w:val="003F01D1"/>
    <w:rsid w:val="003F0AA0"/>
    <w:rsid w:val="003F2D10"/>
    <w:rsid w:val="003F2F8C"/>
    <w:rsid w:val="003F5096"/>
    <w:rsid w:val="003F51E1"/>
    <w:rsid w:val="003F5F1B"/>
    <w:rsid w:val="003F60AA"/>
    <w:rsid w:val="003F611C"/>
    <w:rsid w:val="003F672C"/>
    <w:rsid w:val="003F6AF3"/>
    <w:rsid w:val="003F720C"/>
    <w:rsid w:val="003F7790"/>
    <w:rsid w:val="00400C10"/>
    <w:rsid w:val="00400D20"/>
    <w:rsid w:val="00401821"/>
    <w:rsid w:val="00403655"/>
    <w:rsid w:val="00403FE6"/>
    <w:rsid w:val="0040471D"/>
    <w:rsid w:val="004054CC"/>
    <w:rsid w:val="00405873"/>
    <w:rsid w:val="004061C8"/>
    <w:rsid w:val="00406ADC"/>
    <w:rsid w:val="00406E52"/>
    <w:rsid w:val="00406FBA"/>
    <w:rsid w:val="004071F7"/>
    <w:rsid w:val="00407212"/>
    <w:rsid w:val="004076A5"/>
    <w:rsid w:val="0040776D"/>
    <w:rsid w:val="00407B23"/>
    <w:rsid w:val="00410676"/>
    <w:rsid w:val="00412C69"/>
    <w:rsid w:val="00413521"/>
    <w:rsid w:val="00414B59"/>
    <w:rsid w:val="0041528E"/>
    <w:rsid w:val="004152BB"/>
    <w:rsid w:val="0041561E"/>
    <w:rsid w:val="00416306"/>
    <w:rsid w:val="004163BB"/>
    <w:rsid w:val="00417D1D"/>
    <w:rsid w:val="004203F8"/>
    <w:rsid w:val="0042064E"/>
    <w:rsid w:val="00420C6E"/>
    <w:rsid w:val="00421287"/>
    <w:rsid w:val="004216C0"/>
    <w:rsid w:val="00423E44"/>
    <w:rsid w:val="004245C7"/>
    <w:rsid w:val="00424A28"/>
    <w:rsid w:val="004258A3"/>
    <w:rsid w:val="00425DB4"/>
    <w:rsid w:val="0042603E"/>
    <w:rsid w:val="004260A3"/>
    <w:rsid w:val="004264F8"/>
    <w:rsid w:val="0042687C"/>
    <w:rsid w:val="00426C65"/>
    <w:rsid w:val="00426D11"/>
    <w:rsid w:val="004300A6"/>
    <w:rsid w:val="0043072D"/>
    <w:rsid w:val="00433F9C"/>
    <w:rsid w:val="00437BC5"/>
    <w:rsid w:val="004420C0"/>
    <w:rsid w:val="004430BE"/>
    <w:rsid w:val="00443855"/>
    <w:rsid w:val="00443860"/>
    <w:rsid w:val="00443893"/>
    <w:rsid w:val="00443A2E"/>
    <w:rsid w:val="00443E76"/>
    <w:rsid w:val="0044524E"/>
    <w:rsid w:val="004458E9"/>
    <w:rsid w:val="00445B7D"/>
    <w:rsid w:val="00446932"/>
    <w:rsid w:val="00447203"/>
    <w:rsid w:val="00447EE2"/>
    <w:rsid w:val="00450473"/>
    <w:rsid w:val="00451B60"/>
    <w:rsid w:val="00451E28"/>
    <w:rsid w:val="00452B3F"/>
    <w:rsid w:val="0045303B"/>
    <w:rsid w:val="004537C1"/>
    <w:rsid w:val="00453C1F"/>
    <w:rsid w:val="00455E9A"/>
    <w:rsid w:val="00456312"/>
    <w:rsid w:val="004565E0"/>
    <w:rsid w:val="00456964"/>
    <w:rsid w:val="004573E5"/>
    <w:rsid w:val="00457BAF"/>
    <w:rsid w:val="00457BB1"/>
    <w:rsid w:val="00457E5E"/>
    <w:rsid w:val="00460EA3"/>
    <w:rsid w:val="00461686"/>
    <w:rsid w:val="004625FB"/>
    <w:rsid w:val="004632ED"/>
    <w:rsid w:val="004634D9"/>
    <w:rsid w:val="00463A69"/>
    <w:rsid w:val="004655C8"/>
    <w:rsid w:val="00467820"/>
    <w:rsid w:val="00470FB8"/>
    <w:rsid w:val="004712D2"/>
    <w:rsid w:val="0047144A"/>
    <w:rsid w:val="0047255D"/>
    <w:rsid w:val="004726F5"/>
    <w:rsid w:val="00472CA8"/>
    <w:rsid w:val="00472E99"/>
    <w:rsid w:val="00472EC6"/>
    <w:rsid w:val="00473B3A"/>
    <w:rsid w:val="00474EA9"/>
    <w:rsid w:val="004755C1"/>
    <w:rsid w:val="00475786"/>
    <w:rsid w:val="004757A9"/>
    <w:rsid w:val="00480B42"/>
    <w:rsid w:val="004825D1"/>
    <w:rsid w:val="004830E4"/>
    <w:rsid w:val="00483B8F"/>
    <w:rsid w:val="00483D1A"/>
    <w:rsid w:val="004849F1"/>
    <w:rsid w:val="00484BA0"/>
    <w:rsid w:val="00484EF0"/>
    <w:rsid w:val="00485500"/>
    <w:rsid w:val="00485AA6"/>
    <w:rsid w:val="00487798"/>
    <w:rsid w:val="00487E57"/>
    <w:rsid w:val="004903EA"/>
    <w:rsid w:val="00490C20"/>
    <w:rsid w:val="00490EA5"/>
    <w:rsid w:val="00491624"/>
    <w:rsid w:val="00491FCF"/>
    <w:rsid w:val="00492061"/>
    <w:rsid w:val="00492672"/>
    <w:rsid w:val="00492788"/>
    <w:rsid w:val="00493DC6"/>
    <w:rsid w:val="00495407"/>
    <w:rsid w:val="004959FD"/>
    <w:rsid w:val="00497A05"/>
    <w:rsid w:val="00497D24"/>
    <w:rsid w:val="004A06AE"/>
    <w:rsid w:val="004A0C5B"/>
    <w:rsid w:val="004A1279"/>
    <w:rsid w:val="004A1462"/>
    <w:rsid w:val="004A1DA9"/>
    <w:rsid w:val="004A1DDC"/>
    <w:rsid w:val="004A280E"/>
    <w:rsid w:val="004A378E"/>
    <w:rsid w:val="004A3C3F"/>
    <w:rsid w:val="004A42A7"/>
    <w:rsid w:val="004A4AA0"/>
    <w:rsid w:val="004A5254"/>
    <w:rsid w:val="004A5B2F"/>
    <w:rsid w:val="004A5E69"/>
    <w:rsid w:val="004A6F2D"/>
    <w:rsid w:val="004A774A"/>
    <w:rsid w:val="004A7AC5"/>
    <w:rsid w:val="004A7D73"/>
    <w:rsid w:val="004B1934"/>
    <w:rsid w:val="004B33F5"/>
    <w:rsid w:val="004B4757"/>
    <w:rsid w:val="004B49AF"/>
    <w:rsid w:val="004B7027"/>
    <w:rsid w:val="004C07D6"/>
    <w:rsid w:val="004C102A"/>
    <w:rsid w:val="004C14E0"/>
    <w:rsid w:val="004C17B6"/>
    <w:rsid w:val="004C224D"/>
    <w:rsid w:val="004C2395"/>
    <w:rsid w:val="004C2A57"/>
    <w:rsid w:val="004C2F11"/>
    <w:rsid w:val="004C3617"/>
    <w:rsid w:val="004C43F7"/>
    <w:rsid w:val="004C46A1"/>
    <w:rsid w:val="004C4A9E"/>
    <w:rsid w:val="004C4B08"/>
    <w:rsid w:val="004C6276"/>
    <w:rsid w:val="004C6F18"/>
    <w:rsid w:val="004C71FB"/>
    <w:rsid w:val="004C7AE6"/>
    <w:rsid w:val="004D0242"/>
    <w:rsid w:val="004D09DC"/>
    <w:rsid w:val="004D0CBD"/>
    <w:rsid w:val="004D1271"/>
    <w:rsid w:val="004D1D0D"/>
    <w:rsid w:val="004D1E14"/>
    <w:rsid w:val="004D28E6"/>
    <w:rsid w:val="004D2A4B"/>
    <w:rsid w:val="004D2A80"/>
    <w:rsid w:val="004D3106"/>
    <w:rsid w:val="004D3495"/>
    <w:rsid w:val="004D36E2"/>
    <w:rsid w:val="004D3C89"/>
    <w:rsid w:val="004D536B"/>
    <w:rsid w:val="004D5743"/>
    <w:rsid w:val="004D5ADC"/>
    <w:rsid w:val="004D63B1"/>
    <w:rsid w:val="004E0953"/>
    <w:rsid w:val="004E0C2F"/>
    <w:rsid w:val="004E1132"/>
    <w:rsid w:val="004E11ED"/>
    <w:rsid w:val="004E16C5"/>
    <w:rsid w:val="004E40A0"/>
    <w:rsid w:val="004E46CC"/>
    <w:rsid w:val="004E53DB"/>
    <w:rsid w:val="004E5682"/>
    <w:rsid w:val="004E6433"/>
    <w:rsid w:val="004E781E"/>
    <w:rsid w:val="004E7C82"/>
    <w:rsid w:val="004F088C"/>
    <w:rsid w:val="004F0F39"/>
    <w:rsid w:val="004F1398"/>
    <w:rsid w:val="004F17AB"/>
    <w:rsid w:val="004F1A10"/>
    <w:rsid w:val="004F20FE"/>
    <w:rsid w:val="004F2469"/>
    <w:rsid w:val="004F2756"/>
    <w:rsid w:val="004F2BF7"/>
    <w:rsid w:val="004F33B0"/>
    <w:rsid w:val="004F370F"/>
    <w:rsid w:val="004F3EE9"/>
    <w:rsid w:val="004F43FF"/>
    <w:rsid w:val="004F44F1"/>
    <w:rsid w:val="004F5F4F"/>
    <w:rsid w:val="004F6837"/>
    <w:rsid w:val="004F7F18"/>
    <w:rsid w:val="00501532"/>
    <w:rsid w:val="0050181A"/>
    <w:rsid w:val="00501947"/>
    <w:rsid w:val="00502625"/>
    <w:rsid w:val="005027DC"/>
    <w:rsid w:val="00504F0F"/>
    <w:rsid w:val="00505333"/>
    <w:rsid w:val="00505690"/>
    <w:rsid w:val="005057A3"/>
    <w:rsid w:val="00505807"/>
    <w:rsid w:val="0050597C"/>
    <w:rsid w:val="0050771D"/>
    <w:rsid w:val="00507AE9"/>
    <w:rsid w:val="005109CE"/>
    <w:rsid w:val="00511A3D"/>
    <w:rsid w:val="00512498"/>
    <w:rsid w:val="00512978"/>
    <w:rsid w:val="00513107"/>
    <w:rsid w:val="0051374C"/>
    <w:rsid w:val="0051410D"/>
    <w:rsid w:val="00515469"/>
    <w:rsid w:val="00515D49"/>
    <w:rsid w:val="00515F2F"/>
    <w:rsid w:val="00516D37"/>
    <w:rsid w:val="00517CD0"/>
    <w:rsid w:val="00517D1C"/>
    <w:rsid w:val="005206BE"/>
    <w:rsid w:val="00520CF8"/>
    <w:rsid w:val="00521965"/>
    <w:rsid w:val="00521F09"/>
    <w:rsid w:val="00522A7D"/>
    <w:rsid w:val="005238C6"/>
    <w:rsid w:val="005242D7"/>
    <w:rsid w:val="00524AFB"/>
    <w:rsid w:val="00524B9B"/>
    <w:rsid w:val="005258E8"/>
    <w:rsid w:val="00527495"/>
    <w:rsid w:val="005304C2"/>
    <w:rsid w:val="00530708"/>
    <w:rsid w:val="005318A6"/>
    <w:rsid w:val="00531D29"/>
    <w:rsid w:val="0053382C"/>
    <w:rsid w:val="00533C60"/>
    <w:rsid w:val="00533E5C"/>
    <w:rsid w:val="0053585B"/>
    <w:rsid w:val="00536392"/>
    <w:rsid w:val="00536613"/>
    <w:rsid w:val="005368A9"/>
    <w:rsid w:val="00536C1E"/>
    <w:rsid w:val="005379E6"/>
    <w:rsid w:val="0054319E"/>
    <w:rsid w:val="0054374C"/>
    <w:rsid w:val="00543CFE"/>
    <w:rsid w:val="00543F30"/>
    <w:rsid w:val="00544C6F"/>
    <w:rsid w:val="005458C3"/>
    <w:rsid w:val="00545994"/>
    <w:rsid w:val="00545A16"/>
    <w:rsid w:val="00547626"/>
    <w:rsid w:val="0054772A"/>
    <w:rsid w:val="00547B86"/>
    <w:rsid w:val="005504D6"/>
    <w:rsid w:val="00550C43"/>
    <w:rsid w:val="00550F17"/>
    <w:rsid w:val="00551107"/>
    <w:rsid w:val="00551918"/>
    <w:rsid w:val="005521C0"/>
    <w:rsid w:val="0055261A"/>
    <w:rsid w:val="00552704"/>
    <w:rsid w:val="00552D40"/>
    <w:rsid w:val="005532AE"/>
    <w:rsid w:val="005532E8"/>
    <w:rsid w:val="00553591"/>
    <w:rsid w:val="00553D06"/>
    <w:rsid w:val="00553E31"/>
    <w:rsid w:val="00554E29"/>
    <w:rsid w:val="00555CD6"/>
    <w:rsid w:val="00555CF2"/>
    <w:rsid w:val="00555FF4"/>
    <w:rsid w:val="00556181"/>
    <w:rsid w:val="005561E5"/>
    <w:rsid w:val="00557553"/>
    <w:rsid w:val="00557AC8"/>
    <w:rsid w:val="00557BE3"/>
    <w:rsid w:val="005608BD"/>
    <w:rsid w:val="0056096B"/>
    <w:rsid w:val="00560A0B"/>
    <w:rsid w:val="0056136E"/>
    <w:rsid w:val="005616B4"/>
    <w:rsid w:val="005618A7"/>
    <w:rsid w:val="0056274A"/>
    <w:rsid w:val="005628CD"/>
    <w:rsid w:val="005636FE"/>
    <w:rsid w:val="005649CA"/>
    <w:rsid w:val="00564AA1"/>
    <w:rsid w:val="0056511A"/>
    <w:rsid w:val="00565538"/>
    <w:rsid w:val="00565E19"/>
    <w:rsid w:val="0057032F"/>
    <w:rsid w:val="005704AF"/>
    <w:rsid w:val="005708B8"/>
    <w:rsid w:val="005709C4"/>
    <w:rsid w:val="005721A0"/>
    <w:rsid w:val="005734C7"/>
    <w:rsid w:val="00574F74"/>
    <w:rsid w:val="005766F7"/>
    <w:rsid w:val="00576B34"/>
    <w:rsid w:val="0058127F"/>
    <w:rsid w:val="005814C5"/>
    <w:rsid w:val="0058194F"/>
    <w:rsid w:val="0058209F"/>
    <w:rsid w:val="0058275B"/>
    <w:rsid w:val="005827A1"/>
    <w:rsid w:val="00582BF4"/>
    <w:rsid w:val="005835DF"/>
    <w:rsid w:val="00583944"/>
    <w:rsid w:val="005844DF"/>
    <w:rsid w:val="00584C8E"/>
    <w:rsid w:val="00584D10"/>
    <w:rsid w:val="00584E1A"/>
    <w:rsid w:val="005858C1"/>
    <w:rsid w:val="00585BF3"/>
    <w:rsid w:val="005860A4"/>
    <w:rsid w:val="00586268"/>
    <w:rsid w:val="00586C25"/>
    <w:rsid w:val="00586F80"/>
    <w:rsid w:val="0058738D"/>
    <w:rsid w:val="00587C23"/>
    <w:rsid w:val="00591384"/>
    <w:rsid w:val="00591E86"/>
    <w:rsid w:val="005925E9"/>
    <w:rsid w:val="00593C76"/>
    <w:rsid w:val="00594415"/>
    <w:rsid w:val="005949D6"/>
    <w:rsid w:val="00594E3A"/>
    <w:rsid w:val="00594E4D"/>
    <w:rsid w:val="0059550D"/>
    <w:rsid w:val="0059565F"/>
    <w:rsid w:val="005958B5"/>
    <w:rsid w:val="00595C02"/>
    <w:rsid w:val="005968B6"/>
    <w:rsid w:val="005969C5"/>
    <w:rsid w:val="00596AE9"/>
    <w:rsid w:val="005A0155"/>
    <w:rsid w:val="005A0534"/>
    <w:rsid w:val="005A056F"/>
    <w:rsid w:val="005A1C1F"/>
    <w:rsid w:val="005A1C46"/>
    <w:rsid w:val="005A1D3E"/>
    <w:rsid w:val="005A264A"/>
    <w:rsid w:val="005A2B61"/>
    <w:rsid w:val="005A2B7F"/>
    <w:rsid w:val="005A377C"/>
    <w:rsid w:val="005A38BF"/>
    <w:rsid w:val="005A41D2"/>
    <w:rsid w:val="005A432F"/>
    <w:rsid w:val="005A5413"/>
    <w:rsid w:val="005A59D3"/>
    <w:rsid w:val="005A6836"/>
    <w:rsid w:val="005A6FD5"/>
    <w:rsid w:val="005A742A"/>
    <w:rsid w:val="005A76C4"/>
    <w:rsid w:val="005A76D1"/>
    <w:rsid w:val="005A7772"/>
    <w:rsid w:val="005B1441"/>
    <w:rsid w:val="005B284C"/>
    <w:rsid w:val="005B2B3E"/>
    <w:rsid w:val="005B3F6F"/>
    <w:rsid w:val="005B4045"/>
    <w:rsid w:val="005B4A14"/>
    <w:rsid w:val="005B61C2"/>
    <w:rsid w:val="005B73C0"/>
    <w:rsid w:val="005B75C6"/>
    <w:rsid w:val="005C02A0"/>
    <w:rsid w:val="005C05DD"/>
    <w:rsid w:val="005C0F0B"/>
    <w:rsid w:val="005C0FBF"/>
    <w:rsid w:val="005C1667"/>
    <w:rsid w:val="005C2A06"/>
    <w:rsid w:val="005C483A"/>
    <w:rsid w:val="005C59FD"/>
    <w:rsid w:val="005C5E34"/>
    <w:rsid w:val="005C6E6F"/>
    <w:rsid w:val="005C7BAE"/>
    <w:rsid w:val="005D02F3"/>
    <w:rsid w:val="005D1ADF"/>
    <w:rsid w:val="005D2916"/>
    <w:rsid w:val="005D454F"/>
    <w:rsid w:val="005D5924"/>
    <w:rsid w:val="005E044C"/>
    <w:rsid w:val="005E089C"/>
    <w:rsid w:val="005E098F"/>
    <w:rsid w:val="005E189E"/>
    <w:rsid w:val="005E3034"/>
    <w:rsid w:val="005E3423"/>
    <w:rsid w:val="005E44A3"/>
    <w:rsid w:val="005E549A"/>
    <w:rsid w:val="005E5B9C"/>
    <w:rsid w:val="005E67B0"/>
    <w:rsid w:val="005E7089"/>
    <w:rsid w:val="005E75D8"/>
    <w:rsid w:val="005E7C2C"/>
    <w:rsid w:val="005F13C1"/>
    <w:rsid w:val="005F2A85"/>
    <w:rsid w:val="005F2EA0"/>
    <w:rsid w:val="005F359B"/>
    <w:rsid w:val="005F4B12"/>
    <w:rsid w:val="005F4CA1"/>
    <w:rsid w:val="005F5169"/>
    <w:rsid w:val="005F5686"/>
    <w:rsid w:val="005F6865"/>
    <w:rsid w:val="005F6D30"/>
    <w:rsid w:val="005F6F7A"/>
    <w:rsid w:val="005F7322"/>
    <w:rsid w:val="006001B8"/>
    <w:rsid w:val="006004FE"/>
    <w:rsid w:val="00600D6E"/>
    <w:rsid w:val="0060141A"/>
    <w:rsid w:val="006014C1"/>
    <w:rsid w:val="00602BC5"/>
    <w:rsid w:val="00603193"/>
    <w:rsid w:val="00603A2B"/>
    <w:rsid w:val="00604CCB"/>
    <w:rsid w:val="00604DFD"/>
    <w:rsid w:val="00605304"/>
    <w:rsid w:val="0060538B"/>
    <w:rsid w:val="006058DB"/>
    <w:rsid w:val="006061B4"/>
    <w:rsid w:val="006063A7"/>
    <w:rsid w:val="00606EBD"/>
    <w:rsid w:val="006116AD"/>
    <w:rsid w:val="00611984"/>
    <w:rsid w:val="006128C8"/>
    <w:rsid w:val="00612F0B"/>
    <w:rsid w:val="00613397"/>
    <w:rsid w:val="006133F6"/>
    <w:rsid w:val="0061354C"/>
    <w:rsid w:val="00613FC5"/>
    <w:rsid w:val="006145FC"/>
    <w:rsid w:val="00615734"/>
    <w:rsid w:val="00616FB3"/>
    <w:rsid w:val="006176EE"/>
    <w:rsid w:val="00617CEA"/>
    <w:rsid w:val="0062008C"/>
    <w:rsid w:val="0062042E"/>
    <w:rsid w:val="00621BFF"/>
    <w:rsid w:val="006228AE"/>
    <w:rsid w:val="00625F9F"/>
    <w:rsid w:val="00626185"/>
    <w:rsid w:val="00626553"/>
    <w:rsid w:val="00626C83"/>
    <w:rsid w:val="00626D04"/>
    <w:rsid w:val="00630C1B"/>
    <w:rsid w:val="006316D8"/>
    <w:rsid w:val="00634A16"/>
    <w:rsid w:val="00635B38"/>
    <w:rsid w:val="0063648F"/>
    <w:rsid w:val="00636E74"/>
    <w:rsid w:val="006370F4"/>
    <w:rsid w:val="00637CDE"/>
    <w:rsid w:val="00637DAE"/>
    <w:rsid w:val="00637E40"/>
    <w:rsid w:val="006400AF"/>
    <w:rsid w:val="00640DEC"/>
    <w:rsid w:val="00640E69"/>
    <w:rsid w:val="00641180"/>
    <w:rsid w:val="0064180A"/>
    <w:rsid w:val="0064181B"/>
    <w:rsid w:val="00641E05"/>
    <w:rsid w:val="006425AD"/>
    <w:rsid w:val="00643502"/>
    <w:rsid w:val="006435A9"/>
    <w:rsid w:val="006455FC"/>
    <w:rsid w:val="0064576A"/>
    <w:rsid w:val="006471A0"/>
    <w:rsid w:val="00647FB0"/>
    <w:rsid w:val="006504FC"/>
    <w:rsid w:val="00651044"/>
    <w:rsid w:val="0065126C"/>
    <w:rsid w:val="00652947"/>
    <w:rsid w:val="00652E8A"/>
    <w:rsid w:val="00655228"/>
    <w:rsid w:val="006560C7"/>
    <w:rsid w:val="006564B4"/>
    <w:rsid w:val="0065703F"/>
    <w:rsid w:val="00657F87"/>
    <w:rsid w:val="00660E04"/>
    <w:rsid w:val="0066120B"/>
    <w:rsid w:val="00661988"/>
    <w:rsid w:val="006647CC"/>
    <w:rsid w:val="00664D8C"/>
    <w:rsid w:val="00664E27"/>
    <w:rsid w:val="00665840"/>
    <w:rsid w:val="00665B54"/>
    <w:rsid w:val="00665B9E"/>
    <w:rsid w:val="00667483"/>
    <w:rsid w:val="00667BF1"/>
    <w:rsid w:val="00670451"/>
    <w:rsid w:val="0067123E"/>
    <w:rsid w:val="006714CD"/>
    <w:rsid w:val="00671B29"/>
    <w:rsid w:val="00671E81"/>
    <w:rsid w:val="00672A92"/>
    <w:rsid w:val="00672CC6"/>
    <w:rsid w:val="00672FD4"/>
    <w:rsid w:val="00673E8C"/>
    <w:rsid w:val="00674EC7"/>
    <w:rsid w:val="00675151"/>
    <w:rsid w:val="00675291"/>
    <w:rsid w:val="00675327"/>
    <w:rsid w:val="00675FA3"/>
    <w:rsid w:val="00676E49"/>
    <w:rsid w:val="00677A22"/>
    <w:rsid w:val="00680673"/>
    <w:rsid w:val="00680960"/>
    <w:rsid w:val="00681948"/>
    <w:rsid w:val="00682076"/>
    <w:rsid w:val="00682558"/>
    <w:rsid w:val="00682D97"/>
    <w:rsid w:val="006837C7"/>
    <w:rsid w:val="00683825"/>
    <w:rsid w:val="00683E6A"/>
    <w:rsid w:val="006841F7"/>
    <w:rsid w:val="00685847"/>
    <w:rsid w:val="00685E3B"/>
    <w:rsid w:val="00687586"/>
    <w:rsid w:val="00690696"/>
    <w:rsid w:val="00690DE1"/>
    <w:rsid w:val="00692F66"/>
    <w:rsid w:val="0069416E"/>
    <w:rsid w:val="006946C7"/>
    <w:rsid w:val="0069480B"/>
    <w:rsid w:val="00694DD2"/>
    <w:rsid w:val="00694EAB"/>
    <w:rsid w:val="006951E0"/>
    <w:rsid w:val="00696202"/>
    <w:rsid w:val="0069790C"/>
    <w:rsid w:val="00697EAB"/>
    <w:rsid w:val="006A0C9B"/>
    <w:rsid w:val="006A1643"/>
    <w:rsid w:val="006A1778"/>
    <w:rsid w:val="006A2FB3"/>
    <w:rsid w:val="006A3399"/>
    <w:rsid w:val="006A33D5"/>
    <w:rsid w:val="006A44FB"/>
    <w:rsid w:val="006A44FD"/>
    <w:rsid w:val="006A4E60"/>
    <w:rsid w:val="006A593F"/>
    <w:rsid w:val="006A6352"/>
    <w:rsid w:val="006A78DE"/>
    <w:rsid w:val="006A7DE7"/>
    <w:rsid w:val="006B0074"/>
    <w:rsid w:val="006B1D87"/>
    <w:rsid w:val="006B2388"/>
    <w:rsid w:val="006B240F"/>
    <w:rsid w:val="006B27BD"/>
    <w:rsid w:val="006B2F77"/>
    <w:rsid w:val="006B3A30"/>
    <w:rsid w:val="006B3D5A"/>
    <w:rsid w:val="006B3FDC"/>
    <w:rsid w:val="006B4202"/>
    <w:rsid w:val="006B4BFB"/>
    <w:rsid w:val="006C00C5"/>
    <w:rsid w:val="006C0132"/>
    <w:rsid w:val="006C118A"/>
    <w:rsid w:val="006C1519"/>
    <w:rsid w:val="006C1FD7"/>
    <w:rsid w:val="006C2416"/>
    <w:rsid w:val="006C277D"/>
    <w:rsid w:val="006C2C0B"/>
    <w:rsid w:val="006C3673"/>
    <w:rsid w:val="006C3799"/>
    <w:rsid w:val="006C3A9F"/>
    <w:rsid w:val="006C4E28"/>
    <w:rsid w:val="006C53AF"/>
    <w:rsid w:val="006C5858"/>
    <w:rsid w:val="006C7444"/>
    <w:rsid w:val="006C7618"/>
    <w:rsid w:val="006D1E78"/>
    <w:rsid w:val="006D32BF"/>
    <w:rsid w:val="006D511F"/>
    <w:rsid w:val="006D608E"/>
    <w:rsid w:val="006D63A0"/>
    <w:rsid w:val="006D7D46"/>
    <w:rsid w:val="006E05AE"/>
    <w:rsid w:val="006E12F6"/>
    <w:rsid w:val="006E1DC0"/>
    <w:rsid w:val="006E2141"/>
    <w:rsid w:val="006E4E4F"/>
    <w:rsid w:val="006E55E6"/>
    <w:rsid w:val="006E5BFC"/>
    <w:rsid w:val="006E5ECF"/>
    <w:rsid w:val="006E7129"/>
    <w:rsid w:val="006E7243"/>
    <w:rsid w:val="006E7784"/>
    <w:rsid w:val="006F1272"/>
    <w:rsid w:val="006F129B"/>
    <w:rsid w:val="006F1E00"/>
    <w:rsid w:val="006F20F6"/>
    <w:rsid w:val="006F3A93"/>
    <w:rsid w:val="006F46D7"/>
    <w:rsid w:val="006F4904"/>
    <w:rsid w:val="006F50AE"/>
    <w:rsid w:val="006F68C4"/>
    <w:rsid w:val="006F6B91"/>
    <w:rsid w:val="007023F8"/>
    <w:rsid w:val="0070265E"/>
    <w:rsid w:val="00703185"/>
    <w:rsid w:val="00704DE7"/>
    <w:rsid w:val="00705634"/>
    <w:rsid w:val="0070572C"/>
    <w:rsid w:val="0070592A"/>
    <w:rsid w:val="00705EBE"/>
    <w:rsid w:val="007061C1"/>
    <w:rsid w:val="007065B3"/>
    <w:rsid w:val="00706ACD"/>
    <w:rsid w:val="00706C32"/>
    <w:rsid w:val="00706C6A"/>
    <w:rsid w:val="00707890"/>
    <w:rsid w:val="0071108E"/>
    <w:rsid w:val="007111AC"/>
    <w:rsid w:val="00712348"/>
    <w:rsid w:val="00713279"/>
    <w:rsid w:val="007139FC"/>
    <w:rsid w:val="00714B92"/>
    <w:rsid w:val="00714FD4"/>
    <w:rsid w:val="00715D14"/>
    <w:rsid w:val="00716B06"/>
    <w:rsid w:val="00716C22"/>
    <w:rsid w:val="00716FA9"/>
    <w:rsid w:val="00717680"/>
    <w:rsid w:val="00717D08"/>
    <w:rsid w:val="007205DB"/>
    <w:rsid w:val="00721F8F"/>
    <w:rsid w:val="007225F9"/>
    <w:rsid w:val="00724371"/>
    <w:rsid w:val="00725E31"/>
    <w:rsid w:val="00725ED7"/>
    <w:rsid w:val="00726188"/>
    <w:rsid w:val="00726E9B"/>
    <w:rsid w:val="00730301"/>
    <w:rsid w:val="007310CB"/>
    <w:rsid w:val="00731449"/>
    <w:rsid w:val="007323B7"/>
    <w:rsid w:val="00732625"/>
    <w:rsid w:val="00732CB9"/>
    <w:rsid w:val="007343E0"/>
    <w:rsid w:val="00734799"/>
    <w:rsid w:val="00734E2E"/>
    <w:rsid w:val="00735E78"/>
    <w:rsid w:val="00735ECD"/>
    <w:rsid w:val="00737630"/>
    <w:rsid w:val="00737B19"/>
    <w:rsid w:val="00737FEC"/>
    <w:rsid w:val="0074014B"/>
    <w:rsid w:val="007404BF"/>
    <w:rsid w:val="0074052D"/>
    <w:rsid w:val="00740D76"/>
    <w:rsid w:val="00741054"/>
    <w:rsid w:val="007410C5"/>
    <w:rsid w:val="00741703"/>
    <w:rsid w:val="00741A29"/>
    <w:rsid w:val="00742326"/>
    <w:rsid w:val="00742CC2"/>
    <w:rsid w:val="00742F8B"/>
    <w:rsid w:val="00743230"/>
    <w:rsid w:val="007435AE"/>
    <w:rsid w:val="00743A77"/>
    <w:rsid w:val="007455B8"/>
    <w:rsid w:val="0074644A"/>
    <w:rsid w:val="007469D9"/>
    <w:rsid w:val="00746A4D"/>
    <w:rsid w:val="00747374"/>
    <w:rsid w:val="00747722"/>
    <w:rsid w:val="00747724"/>
    <w:rsid w:val="00750CDB"/>
    <w:rsid w:val="00750EF9"/>
    <w:rsid w:val="007513EE"/>
    <w:rsid w:val="00751922"/>
    <w:rsid w:val="00751BF3"/>
    <w:rsid w:val="0075202C"/>
    <w:rsid w:val="0075258D"/>
    <w:rsid w:val="00753788"/>
    <w:rsid w:val="0075560C"/>
    <w:rsid w:val="00755845"/>
    <w:rsid w:val="00755968"/>
    <w:rsid w:val="00755B05"/>
    <w:rsid w:val="00755FDE"/>
    <w:rsid w:val="007567BA"/>
    <w:rsid w:val="007568BF"/>
    <w:rsid w:val="00756931"/>
    <w:rsid w:val="00756E42"/>
    <w:rsid w:val="007571C5"/>
    <w:rsid w:val="00760E39"/>
    <w:rsid w:val="00761488"/>
    <w:rsid w:val="00762A10"/>
    <w:rsid w:val="007632CA"/>
    <w:rsid w:val="00763AB8"/>
    <w:rsid w:val="00764D38"/>
    <w:rsid w:val="00764FBB"/>
    <w:rsid w:val="00766BC4"/>
    <w:rsid w:val="00766C47"/>
    <w:rsid w:val="0076743E"/>
    <w:rsid w:val="00767781"/>
    <w:rsid w:val="00770AFA"/>
    <w:rsid w:val="00771977"/>
    <w:rsid w:val="00771AD6"/>
    <w:rsid w:val="0077216B"/>
    <w:rsid w:val="007723A1"/>
    <w:rsid w:val="0077255D"/>
    <w:rsid w:val="00773051"/>
    <w:rsid w:val="00773579"/>
    <w:rsid w:val="00773E14"/>
    <w:rsid w:val="007747CD"/>
    <w:rsid w:val="007753A9"/>
    <w:rsid w:val="00776529"/>
    <w:rsid w:val="007767BD"/>
    <w:rsid w:val="00780604"/>
    <w:rsid w:val="00780818"/>
    <w:rsid w:val="00781983"/>
    <w:rsid w:val="00781DFE"/>
    <w:rsid w:val="00781FF7"/>
    <w:rsid w:val="00781FFD"/>
    <w:rsid w:val="0078230D"/>
    <w:rsid w:val="00782E67"/>
    <w:rsid w:val="0078349E"/>
    <w:rsid w:val="00783AB7"/>
    <w:rsid w:val="0078583F"/>
    <w:rsid w:val="00785A1E"/>
    <w:rsid w:val="00785BF9"/>
    <w:rsid w:val="00785C45"/>
    <w:rsid w:val="00786630"/>
    <w:rsid w:val="0079012B"/>
    <w:rsid w:val="007907E7"/>
    <w:rsid w:val="00790937"/>
    <w:rsid w:val="00790D02"/>
    <w:rsid w:val="007911B9"/>
    <w:rsid w:val="0079153B"/>
    <w:rsid w:val="00794493"/>
    <w:rsid w:val="00794794"/>
    <w:rsid w:val="00795425"/>
    <w:rsid w:val="007954E8"/>
    <w:rsid w:val="00795E0D"/>
    <w:rsid w:val="0079699C"/>
    <w:rsid w:val="00796BF9"/>
    <w:rsid w:val="00797085"/>
    <w:rsid w:val="0079721E"/>
    <w:rsid w:val="007973D1"/>
    <w:rsid w:val="007975AB"/>
    <w:rsid w:val="007976DD"/>
    <w:rsid w:val="0079792B"/>
    <w:rsid w:val="007A0698"/>
    <w:rsid w:val="007A16DD"/>
    <w:rsid w:val="007A1D6D"/>
    <w:rsid w:val="007A1FA3"/>
    <w:rsid w:val="007A2175"/>
    <w:rsid w:val="007A280B"/>
    <w:rsid w:val="007A3F61"/>
    <w:rsid w:val="007A4563"/>
    <w:rsid w:val="007A47CE"/>
    <w:rsid w:val="007A5CDA"/>
    <w:rsid w:val="007A65FD"/>
    <w:rsid w:val="007A6907"/>
    <w:rsid w:val="007A6F94"/>
    <w:rsid w:val="007A7079"/>
    <w:rsid w:val="007A7C74"/>
    <w:rsid w:val="007B0420"/>
    <w:rsid w:val="007B09B5"/>
    <w:rsid w:val="007B2B59"/>
    <w:rsid w:val="007B4D54"/>
    <w:rsid w:val="007B4DFF"/>
    <w:rsid w:val="007B53A2"/>
    <w:rsid w:val="007B647C"/>
    <w:rsid w:val="007B686C"/>
    <w:rsid w:val="007B69B2"/>
    <w:rsid w:val="007B6A58"/>
    <w:rsid w:val="007C0DB3"/>
    <w:rsid w:val="007C0FF2"/>
    <w:rsid w:val="007C1009"/>
    <w:rsid w:val="007C1947"/>
    <w:rsid w:val="007C19E8"/>
    <w:rsid w:val="007C24EA"/>
    <w:rsid w:val="007C2533"/>
    <w:rsid w:val="007C2C90"/>
    <w:rsid w:val="007C2FC2"/>
    <w:rsid w:val="007C38D6"/>
    <w:rsid w:val="007C3F1C"/>
    <w:rsid w:val="007C3FC0"/>
    <w:rsid w:val="007C4873"/>
    <w:rsid w:val="007C4948"/>
    <w:rsid w:val="007C4A44"/>
    <w:rsid w:val="007C57EE"/>
    <w:rsid w:val="007C5906"/>
    <w:rsid w:val="007C5C1C"/>
    <w:rsid w:val="007C5F4B"/>
    <w:rsid w:val="007C5FEA"/>
    <w:rsid w:val="007C67A5"/>
    <w:rsid w:val="007C6F7A"/>
    <w:rsid w:val="007C78AE"/>
    <w:rsid w:val="007D03CD"/>
    <w:rsid w:val="007D03D7"/>
    <w:rsid w:val="007D0CA1"/>
    <w:rsid w:val="007D0E62"/>
    <w:rsid w:val="007D2362"/>
    <w:rsid w:val="007D26C6"/>
    <w:rsid w:val="007D35B1"/>
    <w:rsid w:val="007D4518"/>
    <w:rsid w:val="007D46FD"/>
    <w:rsid w:val="007D48F2"/>
    <w:rsid w:val="007D495C"/>
    <w:rsid w:val="007D4B05"/>
    <w:rsid w:val="007D5818"/>
    <w:rsid w:val="007D585E"/>
    <w:rsid w:val="007D5AFA"/>
    <w:rsid w:val="007D5DDD"/>
    <w:rsid w:val="007D6CA3"/>
    <w:rsid w:val="007D6EFE"/>
    <w:rsid w:val="007D7113"/>
    <w:rsid w:val="007E0005"/>
    <w:rsid w:val="007E008F"/>
    <w:rsid w:val="007E081D"/>
    <w:rsid w:val="007E32AF"/>
    <w:rsid w:val="007E3794"/>
    <w:rsid w:val="007E3871"/>
    <w:rsid w:val="007E3928"/>
    <w:rsid w:val="007E44D0"/>
    <w:rsid w:val="007E454B"/>
    <w:rsid w:val="007E45FB"/>
    <w:rsid w:val="007E52CD"/>
    <w:rsid w:val="007E64E8"/>
    <w:rsid w:val="007E6816"/>
    <w:rsid w:val="007E6BB6"/>
    <w:rsid w:val="007E6F45"/>
    <w:rsid w:val="007E7324"/>
    <w:rsid w:val="007E7398"/>
    <w:rsid w:val="007E7AC4"/>
    <w:rsid w:val="007E7C16"/>
    <w:rsid w:val="007F037B"/>
    <w:rsid w:val="007F07F9"/>
    <w:rsid w:val="007F0C68"/>
    <w:rsid w:val="007F0E59"/>
    <w:rsid w:val="007F140D"/>
    <w:rsid w:val="007F2F41"/>
    <w:rsid w:val="007F3A60"/>
    <w:rsid w:val="007F3E9E"/>
    <w:rsid w:val="007F4BCE"/>
    <w:rsid w:val="007F4BD5"/>
    <w:rsid w:val="007F4D4D"/>
    <w:rsid w:val="007F5B12"/>
    <w:rsid w:val="007F6394"/>
    <w:rsid w:val="007F725E"/>
    <w:rsid w:val="00800730"/>
    <w:rsid w:val="0080084B"/>
    <w:rsid w:val="00800A42"/>
    <w:rsid w:val="00801D1A"/>
    <w:rsid w:val="00801F00"/>
    <w:rsid w:val="0080269C"/>
    <w:rsid w:val="00802BAC"/>
    <w:rsid w:val="00802BF0"/>
    <w:rsid w:val="00802EC7"/>
    <w:rsid w:val="00804B5A"/>
    <w:rsid w:val="00804C7E"/>
    <w:rsid w:val="00804EBA"/>
    <w:rsid w:val="008053F3"/>
    <w:rsid w:val="008066D7"/>
    <w:rsid w:val="00807AE3"/>
    <w:rsid w:val="00810640"/>
    <w:rsid w:val="008107CB"/>
    <w:rsid w:val="00810993"/>
    <w:rsid w:val="00811CD8"/>
    <w:rsid w:val="00812EC4"/>
    <w:rsid w:val="00813B5A"/>
    <w:rsid w:val="00813BCD"/>
    <w:rsid w:val="00814037"/>
    <w:rsid w:val="0081469C"/>
    <w:rsid w:val="00815966"/>
    <w:rsid w:val="00815E6A"/>
    <w:rsid w:val="00815F55"/>
    <w:rsid w:val="00816226"/>
    <w:rsid w:val="00816274"/>
    <w:rsid w:val="00817058"/>
    <w:rsid w:val="00817128"/>
    <w:rsid w:val="00817176"/>
    <w:rsid w:val="0081748B"/>
    <w:rsid w:val="00817BB4"/>
    <w:rsid w:val="008203C3"/>
    <w:rsid w:val="008203D0"/>
    <w:rsid w:val="00823F1D"/>
    <w:rsid w:val="0082458C"/>
    <w:rsid w:val="00824742"/>
    <w:rsid w:val="00824A06"/>
    <w:rsid w:val="00824D08"/>
    <w:rsid w:val="0082594C"/>
    <w:rsid w:val="00825C32"/>
    <w:rsid w:val="00826C61"/>
    <w:rsid w:val="00827053"/>
    <w:rsid w:val="00827210"/>
    <w:rsid w:val="0082722E"/>
    <w:rsid w:val="00827AB3"/>
    <w:rsid w:val="008303E5"/>
    <w:rsid w:val="00831573"/>
    <w:rsid w:val="008315C3"/>
    <w:rsid w:val="00831EB5"/>
    <w:rsid w:val="00832C6E"/>
    <w:rsid w:val="00832D5D"/>
    <w:rsid w:val="00832DBB"/>
    <w:rsid w:val="00832FB2"/>
    <w:rsid w:val="00833544"/>
    <w:rsid w:val="0083431D"/>
    <w:rsid w:val="00834823"/>
    <w:rsid w:val="00834F32"/>
    <w:rsid w:val="00835A7C"/>
    <w:rsid w:val="00835C0E"/>
    <w:rsid w:val="00835EF6"/>
    <w:rsid w:val="008366F4"/>
    <w:rsid w:val="00836824"/>
    <w:rsid w:val="008374A6"/>
    <w:rsid w:val="008375BA"/>
    <w:rsid w:val="008376F7"/>
    <w:rsid w:val="00837AA8"/>
    <w:rsid w:val="0084058F"/>
    <w:rsid w:val="008405DB"/>
    <w:rsid w:val="008411A9"/>
    <w:rsid w:val="00841340"/>
    <w:rsid w:val="00841A18"/>
    <w:rsid w:val="00842157"/>
    <w:rsid w:val="008428B1"/>
    <w:rsid w:val="0084304E"/>
    <w:rsid w:val="0084322E"/>
    <w:rsid w:val="00843742"/>
    <w:rsid w:val="00843B98"/>
    <w:rsid w:val="00843CC2"/>
    <w:rsid w:val="008448BC"/>
    <w:rsid w:val="00844CF8"/>
    <w:rsid w:val="0084537C"/>
    <w:rsid w:val="008460B4"/>
    <w:rsid w:val="008461FE"/>
    <w:rsid w:val="008477C5"/>
    <w:rsid w:val="0085094B"/>
    <w:rsid w:val="00851963"/>
    <w:rsid w:val="00852836"/>
    <w:rsid w:val="008528EF"/>
    <w:rsid w:val="0085353A"/>
    <w:rsid w:val="0085395C"/>
    <w:rsid w:val="00854771"/>
    <w:rsid w:val="008553DF"/>
    <w:rsid w:val="00856AE4"/>
    <w:rsid w:val="00856B66"/>
    <w:rsid w:val="0085703F"/>
    <w:rsid w:val="00857103"/>
    <w:rsid w:val="00860C0A"/>
    <w:rsid w:val="00860C21"/>
    <w:rsid w:val="00860C43"/>
    <w:rsid w:val="00862711"/>
    <w:rsid w:val="00862BA3"/>
    <w:rsid w:val="00862FD4"/>
    <w:rsid w:val="00863375"/>
    <w:rsid w:val="00864BA1"/>
    <w:rsid w:val="008658E4"/>
    <w:rsid w:val="008659E6"/>
    <w:rsid w:val="00865C86"/>
    <w:rsid w:val="00866223"/>
    <w:rsid w:val="008663EF"/>
    <w:rsid w:val="0086680B"/>
    <w:rsid w:val="0086697B"/>
    <w:rsid w:val="0087049D"/>
    <w:rsid w:val="008712D0"/>
    <w:rsid w:val="00871A59"/>
    <w:rsid w:val="00872125"/>
    <w:rsid w:val="008721C3"/>
    <w:rsid w:val="00872B8D"/>
    <w:rsid w:val="00872CCA"/>
    <w:rsid w:val="0087366D"/>
    <w:rsid w:val="008739D4"/>
    <w:rsid w:val="00873F1F"/>
    <w:rsid w:val="00874ED7"/>
    <w:rsid w:val="008758EA"/>
    <w:rsid w:val="00875D01"/>
    <w:rsid w:val="00875F26"/>
    <w:rsid w:val="00876A96"/>
    <w:rsid w:val="00876D5B"/>
    <w:rsid w:val="008775C2"/>
    <w:rsid w:val="008818A1"/>
    <w:rsid w:val="0088286D"/>
    <w:rsid w:val="00882C91"/>
    <w:rsid w:val="00883607"/>
    <w:rsid w:val="008841C3"/>
    <w:rsid w:val="008847D6"/>
    <w:rsid w:val="00884C06"/>
    <w:rsid w:val="008852C0"/>
    <w:rsid w:val="00886952"/>
    <w:rsid w:val="00887327"/>
    <w:rsid w:val="00887E0B"/>
    <w:rsid w:val="0089117F"/>
    <w:rsid w:val="0089130D"/>
    <w:rsid w:val="0089182C"/>
    <w:rsid w:val="00892470"/>
    <w:rsid w:val="00892A66"/>
    <w:rsid w:val="00893212"/>
    <w:rsid w:val="0089443C"/>
    <w:rsid w:val="008944B5"/>
    <w:rsid w:val="008948EA"/>
    <w:rsid w:val="00894E72"/>
    <w:rsid w:val="00894F6E"/>
    <w:rsid w:val="008953AB"/>
    <w:rsid w:val="008953E8"/>
    <w:rsid w:val="00895D08"/>
    <w:rsid w:val="00895E0F"/>
    <w:rsid w:val="008966DA"/>
    <w:rsid w:val="00896C44"/>
    <w:rsid w:val="00897229"/>
    <w:rsid w:val="008A00AE"/>
    <w:rsid w:val="008A0DCB"/>
    <w:rsid w:val="008A1B43"/>
    <w:rsid w:val="008A25BA"/>
    <w:rsid w:val="008A2802"/>
    <w:rsid w:val="008A3301"/>
    <w:rsid w:val="008A3759"/>
    <w:rsid w:val="008A4947"/>
    <w:rsid w:val="008A4C93"/>
    <w:rsid w:val="008A4EDB"/>
    <w:rsid w:val="008A51D6"/>
    <w:rsid w:val="008A51DC"/>
    <w:rsid w:val="008A59E7"/>
    <w:rsid w:val="008A5DA2"/>
    <w:rsid w:val="008A6041"/>
    <w:rsid w:val="008A624A"/>
    <w:rsid w:val="008A6344"/>
    <w:rsid w:val="008A6697"/>
    <w:rsid w:val="008A6DB8"/>
    <w:rsid w:val="008A6EC3"/>
    <w:rsid w:val="008B1BD1"/>
    <w:rsid w:val="008B2D84"/>
    <w:rsid w:val="008B2DAC"/>
    <w:rsid w:val="008B3B7C"/>
    <w:rsid w:val="008B3CAE"/>
    <w:rsid w:val="008B40FE"/>
    <w:rsid w:val="008B5B37"/>
    <w:rsid w:val="008B5E0C"/>
    <w:rsid w:val="008B603E"/>
    <w:rsid w:val="008B669A"/>
    <w:rsid w:val="008B6BAE"/>
    <w:rsid w:val="008B6DC8"/>
    <w:rsid w:val="008B7462"/>
    <w:rsid w:val="008B7CFD"/>
    <w:rsid w:val="008B7EE3"/>
    <w:rsid w:val="008C01B5"/>
    <w:rsid w:val="008C0CC6"/>
    <w:rsid w:val="008C1B77"/>
    <w:rsid w:val="008C1E67"/>
    <w:rsid w:val="008C21AA"/>
    <w:rsid w:val="008C229A"/>
    <w:rsid w:val="008C30DE"/>
    <w:rsid w:val="008C3552"/>
    <w:rsid w:val="008C3B1A"/>
    <w:rsid w:val="008C461F"/>
    <w:rsid w:val="008C4754"/>
    <w:rsid w:val="008C4F95"/>
    <w:rsid w:val="008C50B1"/>
    <w:rsid w:val="008C54D0"/>
    <w:rsid w:val="008C55E4"/>
    <w:rsid w:val="008C5BCC"/>
    <w:rsid w:val="008C6B25"/>
    <w:rsid w:val="008C7026"/>
    <w:rsid w:val="008C78F6"/>
    <w:rsid w:val="008C7A78"/>
    <w:rsid w:val="008D0594"/>
    <w:rsid w:val="008D0BDA"/>
    <w:rsid w:val="008D175C"/>
    <w:rsid w:val="008D17C8"/>
    <w:rsid w:val="008D26EF"/>
    <w:rsid w:val="008D2C1F"/>
    <w:rsid w:val="008D2C40"/>
    <w:rsid w:val="008D37C9"/>
    <w:rsid w:val="008D38E6"/>
    <w:rsid w:val="008D411F"/>
    <w:rsid w:val="008D486E"/>
    <w:rsid w:val="008D48AC"/>
    <w:rsid w:val="008D553B"/>
    <w:rsid w:val="008D56E8"/>
    <w:rsid w:val="008D6040"/>
    <w:rsid w:val="008D6066"/>
    <w:rsid w:val="008D6C29"/>
    <w:rsid w:val="008D704A"/>
    <w:rsid w:val="008D7612"/>
    <w:rsid w:val="008D76AA"/>
    <w:rsid w:val="008E1089"/>
    <w:rsid w:val="008E1234"/>
    <w:rsid w:val="008E12A6"/>
    <w:rsid w:val="008E2380"/>
    <w:rsid w:val="008E2CF5"/>
    <w:rsid w:val="008E62F7"/>
    <w:rsid w:val="008E64D9"/>
    <w:rsid w:val="008E658D"/>
    <w:rsid w:val="008E6FA6"/>
    <w:rsid w:val="008E717F"/>
    <w:rsid w:val="008E74CD"/>
    <w:rsid w:val="008E7AC2"/>
    <w:rsid w:val="008F21AE"/>
    <w:rsid w:val="008F37F0"/>
    <w:rsid w:val="008F395E"/>
    <w:rsid w:val="008F3E42"/>
    <w:rsid w:val="008F44A4"/>
    <w:rsid w:val="008F4DE5"/>
    <w:rsid w:val="008F58B3"/>
    <w:rsid w:val="008F5F40"/>
    <w:rsid w:val="008F68D7"/>
    <w:rsid w:val="008F72FE"/>
    <w:rsid w:val="008F7413"/>
    <w:rsid w:val="008F7D21"/>
    <w:rsid w:val="00901041"/>
    <w:rsid w:val="0090156C"/>
    <w:rsid w:val="009015FC"/>
    <w:rsid w:val="00902603"/>
    <w:rsid w:val="00902E1C"/>
    <w:rsid w:val="00903620"/>
    <w:rsid w:val="00903ADC"/>
    <w:rsid w:val="0090401B"/>
    <w:rsid w:val="00905BF6"/>
    <w:rsid w:val="00905D34"/>
    <w:rsid w:val="00906122"/>
    <w:rsid w:val="00906A56"/>
    <w:rsid w:val="00906B13"/>
    <w:rsid w:val="00910126"/>
    <w:rsid w:val="00910EC5"/>
    <w:rsid w:val="0091148B"/>
    <w:rsid w:val="00911A60"/>
    <w:rsid w:val="009125A1"/>
    <w:rsid w:val="00912D60"/>
    <w:rsid w:val="0091334C"/>
    <w:rsid w:val="0091385D"/>
    <w:rsid w:val="009138E6"/>
    <w:rsid w:val="00913C3F"/>
    <w:rsid w:val="00913D72"/>
    <w:rsid w:val="00913EDB"/>
    <w:rsid w:val="009162D8"/>
    <w:rsid w:val="009167A8"/>
    <w:rsid w:val="0092053D"/>
    <w:rsid w:val="00920B95"/>
    <w:rsid w:val="00920DC3"/>
    <w:rsid w:val="00922484"/>
    <w:rsid w:val="0092321D"/>
    <w:rsid w:val="00923C8E"/>
    <w:rsid w:val="009248B4"/>
    <w:rsid w:val="00924EAF"/>
    <w:rsid w:val="0092591A"/>
    <w:rsid w:val="009263F2"/>
    <w:rsid w:val="009264FE"/>
    <w:rsid w:val="00926BF5"/>
    <w:rsid w:val="0092756A"/>
    <w:rsid w:val="00927F9F"/>
    <w:rsid w:val="00930360"/>
    <w:rsid w:val="00930AF1"/>
    <w:rsid w:val="00930F35"/>
    <w:rsid w:val="00931AFE"/>
    <w:rsid w:val="0093285A"/>
    <w:rsid w:val="00933893"/>
    <w:rsid w:val="00934339"/>
    <w:rsid w:val="00934B89"/>
    <w:rsid w:val="00934B98"/>
    <w:rsid w:val="00935E49"/>
    <w:rsid w:val="00936653"/>
    <w:rsid w:val="00940070"/>
    <w:rsid w:val="00940533"/>
    <w:rsid w:val="0094116D"/>
    <w:rsid w:val="00941C38"/>
    <w:rsid w:val="00941E52"/>
    <w:rsid w:val="00942EBF"/>
    <w:rsid w:val="00943084"/>
    <w:rsid w:val="00943C25"/>
    <w:rsid w:val="009445F8"/>
    <w:rsid w:val="0094514D"/>
    <w:rsid w:val="0094519E"/>
    <w:rsid w:val="0094583D"/>
    <w:rsid w:val="0094755E"/>
    <w:rsid w:val="00950286"/>
    <w:rsid w:val="00950424"/>
    <w:rsid w:val="00951186"/>
    <w:rsid w:val="0095193C"/>
    <w:rsid w:val="00951F19"/>
    <w:rsid w:val="00952C44"/>
    <w:rsid w:val="00952D33"/>
    <w:rsid w:val="009536C2"/>
    <w:rsid w:val="00953F36"/>
    <w:rsid w:val="0095428E"/>
    <w:rsid w:val="00954310"/>
    <w:rsid w:val="00954EB0"/>
    <w:rsid w:val="0095511F"/>
    <w:rsid w:val="009560DF"/>
    <w:rsid w:val="00956143"/>
    <w:rsid w:val="00956210"/>
    <w:rsid w:val="00956777"/>
    <w:rsid w:val="00957EF6"/>
    <w:rsid w:val="00957F14"/>
    <w:rsid w:val="009605AF"/>
    <w:rsid w:val="00960627"/>
    <w:rsid w:val="00960A11"/>
    <w:rsid w:val="00960B5C"/>
    <w:rsid w:val="00961622"/>
    <w:rsid w:val="00961C21"/>
    <w:rsid w:val="009624D4"/>
    <w:rsid w:val="009627AD"/>
    <w:rsid w:val="009631C8"/>
    <w:rsid w:val="00963236"/>
    <w:rsid w:val="00963628"/>
    <w:rsid w:val="00963644"/>
    <w:rsid w:val="00963B98"/>
    <w:rsid w:val="0096546D"/>
    <w:rsid w:val="00965B6C"/>
    <w:rsid w:val="00966534"/>
    <w:rsid w:val="00966CE4"/>
    <w:rsid w:val="00966DA8"/>
    <w:rsid w:val="0096710D"/>
    <w:rsid w:val="009700BA"/>
    <w:rsid w:val="0097131A"/>
    <w:rsid w:val="00971451"/>
    <w:rsid w:val="0097209B"/>
    <w:rsid w:val="00972549"/>
    <w:rsid w:val="009727E0"/>
    <w:rsid w:val="009728B1"/>
    <w:rsid w:val="0097441B"/>
    <w:rsid w:val="00975387"/>
    <w:rsid w:val="00980392"/>
    <w:rsid w:val="0098133E"/>
    <w:rsid w:val="00981931"/>
    <w:rsid w:val="009827B2"/>
    <w:rsid w:val="00982B46"/>
    <w:rsid w:val="00983447"/>
    <w:rsid w:val="009848BB"/>
    <w:rsid w:val="00985E9C"/>
    <w:rsid w:val="0098656F"/>
    <w:rsid w:val="00986851"/>
    <w:rsid w:val="00990736"/>
    <w:rsid w:val="00990F42"/>
    <w:rsid w:val="0099213B"/>
    <w:rsid w:val="00992B01"/>
    <w:rsid w:val="00993BC5"/>
    <w:rsid w:val="00994BB8"/>
    <w:rsid w:val="00994C73"/>
    <w:rsid w:val="00995228"/>
    <w:rsid w:val="0099553D"/>
    <w:rsid w:val="00995635"/>
    <w:rsid w:val="00996658"/>
    <w:rsid w:val="00996E64"/>
    <w:rsid w:val="009A019E"/>
    <w:rsid w:val="009A0A00"/>
    <w:rsid w:val="009A10CE"/>
    <w:rsid w:val="009A1457"/>
    <w:rsid w:val="009A2811"/>
    <w:rsid w:val="009A3D62"/>
    <w:rsid w:val="009A4227"/>
    <w:rsid w:val="009A513A"/>
    <w:rsid w:val="009A51FE"/>
    <w:rsid w:val="009B1184"/>
    <w:rsid w:val="009B1377"/>
    <w:rsid w:val="009B198C"/>
    <w:rsid w:val="009B1AE5"/>
    <w:rsid w:val="009B205D"/>
    <w:rsid w:val="009B2284"/>
    <w:rsid w:val="009B2827"/>
    <w:rsid w:val="009B2B64"/>
    <w:rsid w:val="009B2C55"/>
    <w:rsid w:val="009B2E26"/>
    <w:rsid w:val="009B33BE"/>
    <w:rsid w:val="009B3495"/>
    <w:rsid w:val="009B34EA"/>
    <w:rsid w:val="009B3EB0"/>
    <w:rsid w:val="009B3EE0"/>
    <w:rsid w:val="009B481D"/>
    <w:rsid w:val="009B55ED"/>
    <w:rsid w:val="009B584F"/>
    <w:rsid w:val="009B6C0C"/>
    <w:rsid w:val="009B6DE0"/>
    <w:rsid w:val="009C1349"/>
    <w:rsid w:val="009C1BAE"/>
    <w:rsid w:val="009C228B"/>
    <w:rsid w:val="009C3D38"/>
    <w:rsid w:val="009C5A57"/>
    <w:rsid w:val="009C6B95"/>
    <w:rsid w:val="009C7122"/>
    <w:rsid w:val="009D0C34"/>
    <w:rsid w:val="009D131B"/>
    <w:rsid w:val="009D1549"/>
    <w:rsid w:val="009D1AD8"/>
    <w:rsid w:val="009D27BB"/>
    <w:rsid w:val="009D28B4"/>
    <w:rsid w:val="009D3297"/>
    <w:rsid w:val="009D3D42"/>
    <w:rsid w:val="009D3D9A"/>
    <w:rsid w:val="009D4BAA"/>
    <w:rsid w:val="009D4FF6"/>
    <w:rsid w:val="009D5257"/>
    <w:rsid w:val="009D6E8C"/>
    <w:rsid w:val="009E017D"/>
    <w:rsid w:val="009E09F6"/>
    <w:rsid w:val="009E0F4D"/>
    <w:rsid w:val="009E12F7"/>
    <w:rsid w:val="009E2F15"/>
    <w:rsid w:val="009E3A0A"/>
    <w:rsid w:val="009E44DC"/>
    <w:rsid w:val="009E45B7"/>
    <w:rsid w:val="009E5500"/>
    <w:rsid w:val="009E6AFE"/>
    <w:rsid w:val="009E74A8"/>
    <w:rsid w:val="009F1438"/>
    <w:rsid w:val="009F161C"/>
    <w:rsid w:val="009F23D0"/>
    <w:rsid w:val="009F265C"/>
    <w:rsid w:val="009F33F1"/>
    <w:rsid w:val="009F3639"/>
    <w:rsid w:val="009F4AE8"/>
    <w:rsid w:val="009F5232"/>
    <w:rsid w:val="009F58FF"/>
    <w:rsid w:val="009F6C59"/>
    <w:rsid w:val="009F7613"/>
    <w:rsid w:val="009F7A7D"/>
    <w:rsid w:val="009F7B4C"/>
    <w:rsid w:val="00A00283"/>
    <w:rsid w:val="00A00571"/>
    <w:rsid w:val="00A006FE"/>
    <w:rsid w:val="00A0082E"/>
    <w:rsid w:val="00A0132F"/>
    <w:rsid w:val="00A015FA"/>
    <w:rsid w:val="00A02207"/>
    <w:rsid w:val="00A026AE"/>
    <w:rsid w:val="00A02752"/>
    <w:rsid w:val="00A029EA"/>
    <w:rsid w:val="00A02D46"/>
    <w:rsid w:val="00A03822"/>
    <w:rsid w:val="00A03B99"/>
    <w:rsid w:val="00A041E3"/>
    <w:rsid w:val="00A04249"/>
    <w:rsid w:val="00A04D47"/>
    <w:rsid w:val="00A05A59"/>
    <w:rsid w:val="00A06991"/>
    <w:rsid w:val="00A070B3"/>
    <w:rsid w:val="00A074A9"/>
    <w:rsid w:val="00A077FE"/>
    <w:rsid w:val="00A10223"/>
    <w:rsid w:val="00A113D9"/>
    <w:rsid w:val="00A1153D"/>
    <w:rsid w:val="00A11E0F"/>
    <w:rsid w:val="00A12426"/>
    <w:rsid w:val="00A1325C"/>
    <w:rsid w:val="00A13F78"/>
    <w:rsid w:val="00A1445B"/>
    <w:rsid w:val="00A145D5"/>
    <w:rsid w:val="00A14965"/>
    <w:rsid w:val="00A14FC2"/>
    <w:rsid w:val="00A14FD9"/>
    <w:rsid w:val="00A1502F"/>
    <w:rsid w:val="00A1508B"/>
    <w:rsid w:val="00A1548A"/>
    <w:rsid w:val="00A15632"/>
    <w:rsid w:val="00A156C0"/>
    <w:rsid w:val="00A15C03"/>
    <w:rsid w:val="00A15C75"/>
    <w:rsid w:val="00A163AC"/>
    <w:rsid w:val="00A165E2"/>
    <w:rsid w:val="00A16647"/>
    <w:rsid w:val="00A1723B"/>
    <w:rsid w:val="00A17807"/>
    <w:rsid w:val="00A17FD0"/>
    <w:rsid w:val="00A209F8"/>
    <w:rsid w:val="00A21386"/>
    <w:rsid w:val="00A21AAA"/>
    <w:rsid w:val="00A21DA9"/>
    <w:rsid w:val="00A237A7"/>
    <w:rsid w:val="00A241E2"/>
    <w:rsid w:val="00A25B83"/>
    <w:rsid w:val="00A25C8C"/>
    <w:rsid w:val="00A2666D"/>
    <w:rsid w:val="00A279BA"/>
    <w:rsid w:val="00A30095"/>
    <w:rsid w:val="00A302D2"/>
    <w:rsid w:val="00A3054E"/>
    <w:rsid w:val="00A3065F"/>
    <w:rsid w:val="00A30CE5"/>
    <w:rsid w:val="00A31CCE"/>
    <w:rsid w:val="00A334A7"/>
    <w:rsid w:val="00A33ED8"/>
    <w:rsid w:val="00A33F3D"/>
    <w:rsid w:val="00A3463B"/>
    <w:rsid w:val="00A34C2B"/>
    <w:rsid w:val="00A350ED"/>
    <w:rsid w:val="00A3614B"/>
    <w:rsid w:val="00A361FA"/>
    <w:rsid w:val="00A3740C"/>
    <w:rsid w:val="00A374F1"/>
    <w:rsid w:val="00A374F8"/>
    <w:rsid w:val="00A37C6F"/>
    <w:rsid w:val="00A40412"/>
    <w:rsid w:val="00A40ABA"/>
    <w:rsid w:val="00A41894"/>
    <w:rsid w:val="00A41A30"/>
    <w:rsid w:val="00A41A68"/>
    <w:rsid w:val="00A41BEE"/>
    <w:rsid w:val="00A41E26"/>
    <w:rsid w:val="00A42830"/>
    <w:rsid w:val="00A42A5B"/>
    <w:rsid w:val="00A42EC9"/>
    <w:rsid w:val="00A42F8C"/>
    <w:rsid w:val="00A443B5"/>
    <w:rsid w:val="00A455A8"/>
    <w:rsid w:val="00A464FF"/>
    <w:rsid w:val="00A468F6"/>
    <w:rsid w:val="00A471DD"/>
    <w:rsid w:val="00A473CB"/>
    <w:rsid w:val="00A47B7C"/>
    <w:rsid w:val="00A47F31"/>
    <w:rsid w:val="00A51825"/>
    <w:rsid w:val="00A52974"/>
    <w:rsid w:val="00A52BB8"/>
    <w:rsid w:val="00A5336D"/>
    <w:rsid w:val="00A53499"/>
    <w:rsid w:val="00A535D4"/>
    <w:rsid w:val="00A5425B"/>
    <w:rsid w:val="00A54996"/>
    <w:rsid w:val="00A54A0A"/>
    <w:rsid w:val="00A551E8"/>
    <w:rsid w:val="00A55526"/>
    <w:rsid w:val="00A56265"/>
    <w:rsid w:val="00A56796"/>
    <w:rsid w:val="00A61462"/>
    <w:rsid w:val="00A618DF"/>
    <w:rsid w:val="00A62571"/>
    <w:rsid w:val="00A6257C"/>
    <w:rsid w:val="00A626ED"/>
    <w:rsid w:val="00A62A88"/>
    <w:rsid w:val="00A6313A"/>
    <w:rsid w:val="00A63B73"/>
    <w:rsid w:val="00A63C11"/>
    <w:rsid w:val="00A64471"/>
    <w:rsid w:val="00A6452D"/>
    <w:rsid w:val="00A64A18"/>
    <w:rsid w:val="00A654D3"/>
    <w:rsid w:val="00A66017"/>
    <w:rsid w:val="00A663DD"/>
    <w:rsid w:val="00A672A9"/>
    <w:rsid w:val="00A702FB"/>
    <w:rsid w:val="00A71BA6"/>
    <w:rsid w:val="00A71D80"/>
    <w:rsid w:val="00A71FFD"/>
    <w:rsid w:val="00A721C2"/>
    <w:rsid w:val="00A7238A"/>
    <w:rsid w:val="00A72754"/>
    <w:rsid w:val="00A728D4"/>
    <w:rsid w:val="00A72C28"/>
    <w:rsid w:val="00A72DBC"/>
    <w:rsid w:val="00A72F64"/>
    <w:rsid w:val="00A74725"/>
    <w:rsid w:val="00A75CA4"/>
    <w:rsid w:val="00A763E5"/>
    <w:rsid w:val="00A76988"/>
    <w:rsid w:val="00A770A7"/>
    <w:rsid w:val="00A77796"/>
    <w:rsid w:val="00A777CC"/>
    <w:rsid w:val="00A80755"/>
    <w:rsid w:val="00A81D2D"/>
    <w:rsid w:val="00A82E47"/>
    <w:rsid w:val="00A830A3"/>
    <w:rsid w:val="00A837DE"/>
    <w:rsid w:val="00A83AE1"/>
    <w:rsid w:val="00A84357"/>
    <w:rsid w:val="00A84F4C"/>
    <w:rsid w:val="00A85454"/>
    <w:rsid w:val="00A85A4E"/>
    <w:rsid w:val="00A85DFF"/>
    <w:rsid w:val="00A8610A"/>
    <w:rsid w:val="00A86869"/>
    <w:rsid w:val="00A86AA3"/>
    <w:rsid w:val="00A86B92"/>
    <w:rsid w:val="00A87381"/>
    <w:rsid w:val="00A878E1"/>
    <w:rsid w:val="00A9064E"/>
    <w:rsid w:val="00A91283"/>
    <w:rsid w:val="00A91FD7"/>
    <w:rsid w:val="00A92625"/>
    <w:rsid w:val="00A92F25"/>
    <w:rsid w:val="00A93367"/>
    <w:rsid w:val="00A93438"/>
    <w:rsid w:val="00A934EE"/>
    <w:rsid w:val="00A943E1"/>
    <w:rsid w:val="00A95651"/>
    <w:rsid w:val="00A95D34"/>
    <w:rsid w:val="00A96776"/>
    <w:rsid w:val="00A97C18"/>
    <w:rsid w:val="00A97E6F"/>
    <w:rsid w:val="00AA01A7"/>
    <w:rsid w:val="00AA0556"/>
    <w:rsid w:val="00AA0902"/>
    <w:rsid w:val="00AA118E"/>
    <w:rsid w:val="00AA140E"/>
    <w:rsid w:val="00AA16DB"/>
    <w:rsid w:val="00AA3F1E"/>
    <w:rsid w:val="00AA404F"/>
    <w:rsid w:val="00AA45A0"/>
    <w:rsid w:val="00AA51FB"/>
    <w:rsid w:val="00AA5A71"/>
    <w:rsid w:val="00AA5AE0"/>
    <w:rsid w:val="00AA5BA9"/>
    <w:rsid w:val="00AA5CE7"/>
    <w:rsid w:val="00AA5F5A"/>
    <w:rsid w:val="00AA6721"/>
    <w:rsid w:val="00AA7335"/>
    <w:rsid w:val="00AA7814"/>
    <w:rsid w:val="00AA7E89"/>
    <w:rsid w:val="00AB01AA"/>
    <w:rsid w:val="00AB0987"/>
    <w:rsid w:val="00AB0F09"/>
    <w:rsid w:val="00AB1417"/>
    <w:rsid w:val="00AB1662"/>
    <w:rsid w:val="00AB1B2E"/>
    <w:rsid w:val="00AB1B67"/>
    <w:rsid w:val="00AB25EF"/>
    <w:rsid w:val="00AB34CB"/>
    <w:rsid w:val="00AB4518"/>
    <w:rsid w:val="00AB48E1"/>
    <w:rsid w:val="00AB4E97"/>
    <w:rsid w:val="00AB4F6C"/>
    <w:rsid w:val="00AB5053"/>
    <w:rsid w:val="00AB52CD"/>
    <w:rsid w:val="00AB5557"/>
    <w:rsid w:val="00AB6DDE"/>
    <w:rsid w:val="00AC0A1F"/>
    <w:rsid w:val="00AC18AE"/>
    <w:rsid w:val="00AC190C"/>
    <w:rsid w:val="00AC1C79"/>
    <w:rsid w:val="00AC225C"/>
    <w:rsid w:val="00AC30FF"/>
    <w:rsid w:val="00AC3130"/>
    <w:rsid w:val="00AC3F30"/>
    <w:rsid w:val="00AC4CD6"/>
    <w:rsid w:val="00AC53E8"/>
    <w:rsid w:val="00AC587B"/>
    <w:rsid w:val="00AC6E3F"/>
    <w:rsid w:val="00AC7050"/>
    <w:rsid w:val="00AC72AF"/>
    <w:rsid w:val="00AC7B95"/>
    <w:rsid w:val="00AD0059"/>
    <w:rsid w:val="00AD0546"/>
    <w:rsid w:val="00AD0B0C"/>
    <w:rsid w:val="00AD0FC2"/>
    <w:rsid w:val="00AD15A8"/>
    <w:rsid w:val="00AD1668"/>
    <w:rsid w:val="00AD2366"/>
    <w:rsid w:val="00AD29AF"/>
    <w:rsid w:val="00AD2B68"/>
    <w:rsid w:val="00AD35BD"/>
    <w:rsid w:val="00AD3655"/>
    <w:rsid w:val="00AD44C0"/>
    <w:rsid w:val="00AD455F"/>
    <w:rsid w:val="00AD5188"/>
    <w:rsid w:val="00AD5354"/>
    <w:rsid w:val="00AD5D88"/>
    <w:rsid w:val="00AD6C8A"/>
    <w:rsid w:val="00AD7DA5"/>
    <w:rsid w:val="00AE038B"/>
    <w:rsid w:val="00AE0997"/>
    <w:rsid w:val="00AE0C59"/>
    <w:rsid w:val="00AE11C4"/>
    <w:rsid w:val="00AE14A8"/>
    <w:rsid w:val="00AE1BD0"/>
    <w:rsid w:val="00AE22E1"/>
    <w:rsid w:val="00AE29C1"/>
    <w:rsid w:val="00AE4B7D"/>
    <w:rsid w:val="00AE4C69"/>
    <w:rsid w:val="00AE4EE0"/>
    <w:rsid w:val="00AE5447"/>
    <w:rsid w:val="00AE5D24"/>
    <w:rsid w:val="00AE61B0"/>
    <w:rsid w:val="00AE6819"/>
    <w:rsid w:val="00AE6BC9"/>
    <w:rsid w:val="00AE77E5"/>
    <w:rsid w:val="00AF1044"/>
    <w:rsid w:val="00AF1691"/>
    <w:rsid w:val="00AF1F71"/>
    <w:rsid w:val="00AF24C0"/>
    <w:rsid w:val="00AF263F"/>
    <w:rsid w:val="00AF3363"/>
    <w:rsid w:val="00AF40DF"/>
    <w:rsid w:val="00AF52B4"/>
    <w:rsid w:val="00AF5EA4"/>
    <w:rsid w:val="00AF7C57"/>
    <w:rsid w:val="00AF7DDC"/>
    <w:rsid w:val="00AF7FEE"/>
    <w:rsid w:val="00B0205D"/>
    <w:rsid w:val="00B03526"/>
    <w:rsid w:val="00B04A95"/>
    <w:rsid w:val="00B04C1C"/>
    <w:rsid w:val="00B0664B"/>
    <w:rsid w:val="00B06D03"/>
    <w:rsid w:val="00B07269"/>
    <w:rsid w:val="00B07466"/>
    <w:rsid w:val="00B078CA"/>
    <w:rsid w:val="00B07A52"/>
    <w:rsid w:val="00B1022A"/>
    <w:rsid w:val="00B10310"/>
    <w:rsid w:val="00B10AC0"/>
    <w:rsid w:val="00B10B52"/>
    <w:rsid w:val="00B1117D"/>
    <w:rsid w:val="00B1142A"/>
    <w:rsid w:val="00B1169F"/>
    <w:rsid w:val="00B12771"/>
    <w:rsid w:val="00B12C55"/>
    <w:rsid w:val="00B131E3"/>
    <w:rsid w:val="00B1350B"/>
    <w:rsid w:val="00B153FE"/>
    <w:rsid w:val="00B15594"/>
    <w:rsid w:val="00B158E0"/>
    <w:rsid w:val="00B15A5C"/>
    <w:rsid w:val="00B15E7E"/>
    <w:rsid w:val="00B173E4"/>
    <w:rsid w:val="00B17546"/>
    <w:rsid w:val="00B17BA1"/>
    <w:rsid w:val="00B200C4"/>
    <w:rsid w:val="00B20CE6"/>
    <w:rsid w:val="00B224A4"/>
    <w:rsid w:val="00B2252B"/>
    <w:rsid w:val="00B22CFE"/>
    <w:rsid w:val="00B23BF0"/>
    <w:rsid w:val="00B23E18"/>
    <w:rsid w:val="00B24576"/>
    <w:rsid w:val="00B2577A"/>
    <w:rsid w:val="00B25B31"/>
    <w:rsid w:val="00B25CD1"/>
    <w:rsid w:val="00B26AE5"/>
    <w:rsid w:val="00B26E06"/>
    <w:rsid w:val="00B275F4"/>
    <w:rsid w:val="00B27C5F"/>
    <w:rsid w:val="00B30C06"/>
    <w:rsid w:val="00B30EA8"/>
    <w:rsid w:val="00B31858"/>
    <w:rsid w:val="00B3212F"/>
    <w:rsid w:val="00B32EA2"/>
    <w:rsid w:val="00B33490"/>
    <w:rsid w:val="00B33877"/>
    <w:rsid w:val="00B33C4B"/>
    <w:rsid w:val="00B34DD6"/>
    <w:rsid w:val="00B353C3"/>
    <w:rsid w:val="00B358AF"/>
    <w:rsid w:val="00B35A47"/>
    <w:rsid w:val="00B35AB0"/>
    <w:rsid w:val="00B36B46"/>
    <w:rsid w:val="00B36C8F"/>
    <w:rsid w:val="00B373D3"/>
    <w:rsid w:val="00B37659"/>
    <w:rsid w:val="00B379FE"/>
    <w:rsid w:val="00B37E6B"/>
    <w:rsid w:val="00B402F9"/>
    <w:rsid w:val="00B40919"/>
    <w:rsid w:val="00B41C07"/>
    <w:rsid w:val="00B41DC1"/>
    <w:rsid w:val="00B43276"/>
    <w:rsid w:val="00B43934"/>
    <w:rsid w:val="00B43CFC"/>
    <w:rsid w:val="00B45CB0"/>
    <w:rsid w:val="00B46025"/>
    <w:rsid w:val="00B46105"/>
    <w:rsid w:val="00B46B52"/>
    <w:rsid w:val="00B46CC2"/>
    <w:rsid w:val="00B46D63"/>
    <w:rsid w:val="00B46EF5"/>
    <w:rsid w:val="00B47657"/>
    <w:rsid w:val="00B5019D"/>
    <w:rsid w:val="00B5031A"/>
    <w:rsid w:val="00B5083B"/>
    <w:rsid w:val="00B50C1D"/>
    <w:rsid w:val="00B51C98"/>
    <w:rsid w:val="00B51FCF"/>
    <w:rsid w:val="00B525F0"/>
    <w:rsid w:val="00B52730"/>
    <w:rsid w:val="00B52ABF"/>
    <w:rsid w:val="00B52B2A"/>
    <w:rsid w:val="00B530D4"/>
    <w:rsid w:val="00B53A49"/>
    <w:rsid w:val="00B53A54"/>
    <w:rsid w:val="00B53C45"/>
    <w:rsid w:val="00B53DED"/>
    <w:rsid w:val="00B5465E"/>
    <w:rsid w:val="00B56312"/>
    <w:rsid w:val="00B5748C"/>
    <w:rsid w:val="00B617D8"/>
    <w:rsid w:val="00B6274A"/>
    <w:rsid w:val="00B62C1F"/>
    <w:rsid w:val="00B62C2A"/>
    <w:rsid w:val="00B62C5C"/>
    <w:rsid w:val="00B64206"/>
    <w:rsid w:val="00B643BA"/>
    <w:rsid w:val="00B64446"/>
    <w:rsid w:val="00B651CD"/>
    <w:rsid w:val="00B65573"/>
    <w:rsid w:val="00B70166"/>
    <w:rsid w:val="00B7035E"/>
    <w:rsid w:val="00B704CD"/>
    <w:rsid w:val="00B70A49"/>
    <w:rsid w:val="00B70B29"/>
    <w:rsid w:val="00B7127D"/>
    <w:rsid w:val="00B71484"/>
    <w:rsid w:val="00B71577"/>
    <w:rsid w:val="00B71FB5"/>
    <w:rsid w:val="00B72017"/>
    <w:rsid w:val="00B72AC6"/>
    <w:rsid w:val="00B74AFE"/>
    <w:rsid w:val="00B74E4C"/>
    <w:rsid w:val="00B76757"/>
    <w:rsid w:val="00B77170"/>
    <w:rsid w:val="00B77890"/>
    <w:rsid w:val="00B8062A"/>
    <w:rsid w:val="00B80CF9"/>
    <w:rsid w:val="00B80E3A"/>
    <w:rsid w:val="00B8113A"/>
    <w:rsid w:val="00B83132"/>
    <w:rsid w:val="00B834DA"/>
    <w:rsid w:val="00B83544"/>
    <w:rsid w:val="00B838F2"/>
    <w:rsid w:val="00B83AA9"/>
    <w:rsid w:val="00B83AC5"/>
    <w:rsid w:val="00B83C3F"/>
    <w:rsid w:val="00B83C87"/>
    <w:rsid w:val="00B84AF8"/>
    <w:rsid w:val="00B84BCC"/>
    <w:rsid w:val="00B8581E"/>
    <w:rsid w:val="00B8665C"/>
    <w:rsid w:val="00B87832"/>
    <w:rsid w:val="00B87B32"/>
    <w:rsid w:val="00B87E40"/>
    <w:rsid w:val="00B87EA8"/>
    <w:rsid w:val="00B87EE8"/>
    <w:rsid w:val="00B90F3C"/>
    <w:rsid w:val="00B921E3"/>
    <w:rsid w:val="00B9253D"/>
    <w:rsid w:val="00B9452D"/>
    <w:rsid w:val="00B94F9F"/>
    <w:rsid w:val="00B94FF0"/>
    <w:rsid w:val="00B95014"/>
    <w:rsid w:val="00B9621C"/>
    <w:rsid w:val="00B96B74"/>
    <w:rsid w:val="00BA0BA1"/>
    <w:rsid w:val="00BA0C98"/>
    <w:rsid w:val="00BA19D7"/>
    <w:rsid w:val="00BA2DE1"/>
    <w:rsid w:val="00BA2E29"/>
    <w:rsid w:val="00BA2EB6"/>
    <w:rsid w:val="00BA351A"/>
    <w:rsid w:val="00BA493A"/>
    <w:rsid w:val="00BA4CB4"/>
    <w:rsid w:val="00BA65D7"/>
    <w:rsid w:val="00BA6AF8"/>
    <w:rsid w:val="00BA740A"/>
    <w:rsid w:val="00BA77C6"/>
    <w:rsid w:val="00BB0268"/>
    <w:rsid w:val="00BB078F"/>
    <w:rsid w:val="00BB0A6D"/>
    <w:rsid w:val="00BB0DB9"/>
    <w:rsid w:val="00BB2AB2"/>
    <w:rsid w:val="00BB3037"/>
    <w:rsid w:val="00BB3A9B"/>
    <w:rsid w:val="00BB3BA8"/>
    <w:rsid w:val="00BB5028"/>
    <w:rsid w:val="00BB68FC"/>
    <w:rsid w:val="00BB7771"/>
    <w:rsid w:val="00BC0E83"/>
    <w:rsid w:val="00BC24D6"/>
    <w:rsid w:val="00BC2658"/>
    <w:rsid w:val="00BC265E"/>
    <w:rsid w:val="00BC2677"/>
    <w:rsid w:val="00BC3888"/>
    <w:rsid w:val="00BC3B9A"/>
    <w:rsid w:val="00BC3C39"/>
    <w:rsid w:val="00BC40BB"/>
    <w:rsid w:val="00BC41A5"/>
    <w:rsid w:val="00BC491B"/>
    <w:rsid w:val="00BC64C6"/>
    <w:rsid w:val="00BC7D3A"/>
    <w:rsid w:val="00BC7DE2"/>
    <w:rsid w:val="00BD198B"/>
    <w:rsid w:val="00BD20BF"/>
    <w:rsid w:val="00BD27D2"/>
    <w:rsid w:val="00BD2845"/>
    <w:rsid w:val="00BD3783"/>
    <w:rsid w:val="00BD41E4"/>
    <w:rsid w:val="00BD4A9F"/>
    <w:rsid w:val="00BD51EF"/>
    <w:rsid w:val="00BD5F69"/>
    <w:rsid w:val="00BD6587"/>
    <w:rsid w:val="00BD7611"/>
    <w:rsid w:val="00BD7A17"/>
    <w:rsid w:val="00BD7CA6"/>
    <w:rsid w:val="00BE0163"/>
    <w:rsid w:val="00BE096D"/>
    <w:rsid w:val="00BE0B73"/>
    <w:rsid w:val="00BE1570"/>
    <w:rsid w:val="00BE1AB5"/>
    <w:rsid w:val="00BE2035"/>
    <w:rsid w:val="00BE20F8"/>
    <w:rsid w:val="00BE21D0"/>
    <w:rsid w:val="00BE2582"/>
    <w:rsid w:val="00BE32A9"/>
    <w:rsid w:val="00BE3835"/>
    <w:rsid w:val="00BE3A8F"/>
    <w:rsid w:val="00BE407B"/>
    <w:rsid w:val="00BE4314"/>
    <w:rsid w:val="00BE549E"/>
    <w:rsid w:val="00BE573B"/>
    <w:rsid w:val="00BE5901"/>
    <w:rsid w:val="00BE5ED1"/>
    <w:rsid w:val="00BE670D"/>
    <w:rsid w:val="00BE6752"/>
    <w:rsid w:val="00BE6808"/>
    <w:rsid w:val="00BE6B91"/>
    <w:rsid w:val="00BE7122"/>
    <w:rsid w:val="00BE7739"/>
    <w:rsid w:val="00BE7AF7"/>
    <w:rsid w:val="00BE7DC9"/>
    <w:rsid w:val="00BE7DE5"/>
    <w:rsid w:val="00BF0751"/>
    <w:rsid w:val="00BF0D86"/>
    <w:rsid w:val="00BF0E85"/>
    <w:rsid w:val="00BF16BA"/>
    <w:rsid w:val="00BF16CC"/>
    <w:rsid w:val="00BF309D"/>
    <w:rsid w:val="00BF344D"/>
    <w:rsid w:val="00BF42DB"/>
    <w:rsid w:val="00BF4626"/>
    <w:rsid w:val="00BF480C"/>
    <w:rsid w:val="00BF4878"/>
    <w:rsid w:val="00BF52C0"/>
    <w:rsid w:val="00BF6835"/>
    <w:rsid w:val="00BF6C75"/>
    <w:rsid w:val="00BF7543"/>
    <w:rsid w:val="00C00217"/>
    <w:rsid w:val="00C003F2"/>
    <w:rsid w:val="00C01521"/>
    <w:rsid w:val="00C01C0B"/>
    <w:rsid w:val="00C025CC"/>
    <w:rsid w:val="00C02F2D"/>
    <w:rsid w:val="00C0321C"/>
    <w:rsid w:val="00C045D2"/>
    <w:rsid w:val="00C0482A"/>
    <w:rsid w:val="00C06287"/>
    <w:rsid w:val="00C06B3B"/>
    <w:rsid w:val="00C07D65"/>
    <w:rsid w:val="00C07F79"/>
    <w:rsid w:val="00C101EA"/>
    <w:rsid w:val="00C10868"/>
    <w:rsid w:val="00C11181"/>
    <w:rsid w:val="00C12963"/>
    <w:rsid w:val="00C13FE9"/>
    <w:rsid w:val="00C14092"/>
    <w:rsid w:val="00C14C3C"/>
    <w:rsid w:val="00C1587C"/>
    <w:rsid w:val="00C164D0"/>
    <w:rsid w:val="00C169DF"/>
    <w:rsid w:val="00C16B94"/>
    <w:rsid w:val="00C171C4"/>
    <w:rsid w:val="00C173ED"/>
    <w:rsid w:val="00C1776A"/>
    <w:rsid w:val="00C21278"/>
    <w:rsid w:val="00C21412"/>
    <w:rsid w:val="00C223BA"/>
    <w:rsid w:val="00C224F1"/>
    <w:rsid w:val="00C22F1B"/>
    <w:rsid w:val="00C232DC"/>
    <w:rsid w:val="00C25303"/>
    <w:rsid w:val="00C25A06"/>
    <w:rsid w:val="00C2627D"/>
    <w:rsid w:val="00C2634B"/>
    <w:rsid w:val="00C27134"/>
    <w:rsid w:val="00C27203"/>
    <w:rsid w:val="00C30263"/>
    <w:rsid w:val="00C30B65"/>
    <w:rsid w:val="00C30F61"/>
    <w:rsid w:val="00C31C7A"/>
    <w:rsid w:val="00C32135"/>
    <w:rsid w:val="00C3218F"/>
    <w:rsid w:val="00C328DD"/>
    <w:rsid w:val="00C33787"/>
    <w:rsid w:val="00C33938"/>
    <w:rsid w:val="00C34B40"/>
    <w:rsid w:val="00C35CA1"/>
    <w:rsid w:val="00C3704F"/>
    <w:rsid w:val="00C37154"/>
    <w:rsid w:val="00C37B2D"/>
    <w:rsid w:val="00C37D22"/>
    <w:rsid w:val="00C37D79"/>
    <w:rsid w:val="00C4075A"/>
    <w:rsid w:val="00C40913"/>
    <w:rsid w:val="00C410AA"/>
    <w:rsid w:val="00C41A02"/>
    <w:rsid w:val="00C42E50"/>
    <w:rsid w:val="00C438C7"/>
    <w:rsid w:val="00C44486"/>
    <w:rsid w:val="00C458E2"/>
    <w:rsid w:val="00C45F03"/>
    <w:rsid w:val="00C5031C"/>
    <w:rsid w:val="00C50656"/>
    <w:rsid w:val="00C51199"/>
    <w:rsid w:val="00C521AF"/>
    <w:rsid w:val="00C523D2"/>
    <w:rsid w:val="00C525A0"/>
    <w:rsid w:val="00C533C9"/>
    <w:rsid w:val="00C534DE"/>
    <w:rsid w:val="00C53839"/>
    <w:rsid w:val="00C53BBB"/>
    <w:rsid w:val="00C5431F"/>
    <w:rsid w:val="00C545C7"/>
    <w:rsid w:val="00C56C17"/>
    <w:rsid w:val="00C5709E"/>
    <w:rsid w:val="00C573CE"/>
    <w:rsid w:val="00C57750"/>
    <w:rsid w:val="00C57E1E"/>
    <w:rsid w:val="00C57F95"/>
    <w:rsid w:val="00C60099"/>
    <w:rsid w:val="00C60572"/>
    <w:rsid w:val="00C6093E"/>
    <w:rsid w:val="00C62542"/>
    <w:rsid w:val="00C6256B"/>
    <w:rsid w:val="00C62A43"/>
    <w:rsid w:val="00C63427"/>
    <w:rsid w:val="00C646D2"/>
    <w:rsid w:val="00C64ED7"/>
    <w:rsid w:val="00C650E1"/>
    <w:rsid w:val="00C662FF"/>
    <w:rsid w:val="00C6651E"/>
    <w:rsid w:val="00C70194"/>
    <w:rsid w:val="00C70B3B"/>
    <w:rsid w:val="00C714DB"/>
    <w:rsid w:val="00C735A1"/>
    <w:rsid w:val="00C73FD5"/>
    <w:rsid w:val="00C74CF2"/>
    <w:rsid w:val="00C74E61"/>
    <w:rsid w:val="00C75497"/>
    <w:rsid w:val="00C75FCF"/>
    <w:rsid w:val="00C76EC1"/>
    <w:rsid w:val="00C77C4E"/>
    <w:rsid w:val="00C8053A"/>
    <w:rsid w:val="00C8121D"/>
    <w:rsid w:val="00C84438"/>
    <w:rsid w:val="00C86AE9"/>
    <w:rsid w:val="00C86F2E"/>
    <w:rsid w:val="00C903B9"/>
    <w:rsid w:val="00C90844"/>
    <w:rsid w:val="00C90AF7"/>
    <w:rsid w:val="00C90DC8"/>
    <w:rsid w:val="00C929D3"/>
    <w:rsid w:val="00C92D62"/>
    <w:rsid w:val="00C92F01"/>
    <w:rsid w:val="00C9325F"/>
    <w:rsid w:val="00C94D95"/>
    <w:rsid w:val="00C95C3C"/>
    <w:rsid w:val="00C961F0"/>
    <w:rsid w:val="00C96CB1"/>
    <w:rsid w:val="00C970F7"/>
    <w:rsid w:val="00C973D6"/>
    <w:rsid w:val="00C9748C"/>
    <w:rsid w:val="00C977C7"/>
    <w:rsid w:val="00CA0777"/>
    <w:rsid w:val="00CA1A19"/>
    <w:rsid w:val="00CA2A05"/>
    <w:rsid w:val="00CA2C75"/>
    <w:rsid w:val="00CA35BB"/>
    <w:rsid w:val="00CA4129"/>
    <w:rsid w:val="00CA48F2"/>
    <w:rsid w:val="00CA4961"/>
    <w:rsid w:val="00CA4C67"/>
    <w:rsid w:val="00CA5BBE"/>
    <w:rsid w:val="00CA6120"/>
    <w:rsid w:val="00CB16C3"/>
    <w:rsid w:val="00CB1C3A"/>
    <w:rsid w:val="00CB2C3C"/>
    <w:rsid w:val="00CB37F2"/>
    <w:rsid w:val="00CB4359"/>
    <w:rsid w:val="00CB4791"/>
    <w:rsid w:val="00CB4ECA"/>
    <w:rsid w:val="00CB58F2"/>
    <w:rsid w:val="00CB5A64"/>
    <w:rsid w:val="00CB5C3F"/>
    <w:rsid w:val="00CB5DAE"/>
    <w:rsid w:val="00CB6602"/>
    <w:rsid w:val="00CB6829"/>
    <w:rsid w:val="00CB68E7"/>
    <w:rsid w:val="00CB70F9"/>
    <w:rsid w:val="00CB7515"/>
    <w:rsid w:val="00CC01BC"/>
    <w:rsid w:val="00CC153F"/>
    <w:rsid w:val="00CC33ED"/>
    <w:rsid w:val="00CC3880"/>
    <w:rsid w:val="00CC4801"/>
    <w:rsid w:val="00CC49EA"/>
    <w:rsid w:val="00CC4CE3"/>
    <w:rsid w:val="00CC5917"/>
    <w:rsid w:val="00CC7682"/>
    <w:rsid w:val="00CC77FA"/>
    <w:rsid w:val="00CC7A5E"/>
    <w:rsid w:val="00CD0477"/>
    <w:rsid w:val="00CD05CB"/>
    <w:rsid w:val="00CD0739"/>
    <w:rsid w:val="00CD12E5"/>
    <w:rsid w:val="00CD19FF"/>
    <w:rsid w:val="00CD2421"/>
    <w:rsid w:val="00CD2492"/>
    <w:rsid w:val="00CD27FC"/>
    <w:rsid w:val="00CD2E21"/>
    <w:rsid w:val="00CD51F0"/>
    <w:rsid w:val="00CD5667"/>
    <w:rsid w:val="00CD5CA1"/>
    <w:rsid w:val="00CD6675"/>
    <w:rsid w:val="00CD6FC2"/>
    <w:rsid w:val="00CD7179"/>
    <w:rsid w:val="00CD7344"/>
    <w:rsid w:val="00CD7CD3"/>
    <w:rsid w:val="00CD7E11"/>
    <w:rsid w:val="00CE083F"/>
    <w:rsid w:val="00CE3804"/>
    <w:rsid w:val="00CE3C91"/>
    <w:rsid w:val="00CE3F18"/>
    <w:rsid w:val="00CE3FCB"/>
    <w:rsid w:val="00CE48B5"/>
    <w:rsid w:val="00CE4B4C"/>
    <w:rsid w:val="00CE55FF"/>
    <w:rsid w:val="00CE6514"/>
    <w:rsid w:val="00CE658D"/>
    <w:rsid w:val="00CE6D86"/>
    <w:rsid w:val="00CF0B6F"/>
    <w:rsid w:val="00CF0D2E"/>
    <w:rsid w:val="00CF0F99"/>
    <w:rsid w:val="00CF1CCC"/>
    <w:rsid w:val="00CF288C"/>
    <w:rsid w:val="00CF32FF"/>
    <w:rsid w:val="00CF3621"/>
    <w:rsid w:val="00CF3D4A"/>
    <w:rsid w:val="00CF3F57"/>
    <w:rsid w:val="00CF48BC"/>
    <w:rsid w:val="00CF49D1"/>
    <w:rsid w:val="00CF4F14"/>
    <w:rsid w:val="00CF5294"/>
    <w:rsid w:val="00CF5C06"/>
    <w:rsid w:val="00CF5F8F"/>
    <w:rsid w:val="00CF6973"/>
    <w:rsid w:val="00CF6E7A"/>
    <w:rsid w:val="00CF7145"/>
    <w:rsid w:val="00CF7872"/>
    <w:rsid w:val="00D0022C"/>
    <w:rsid w:val="00D011BF"/>
    <w:rsid w:val="00D0203C"/>
    <w:rsid w:val="00D02133"/>
    <w:rsid w:val="00D02371"/>
    <w:rsid w:val="00D02440"/>
    <w:rsid w:val="00D02709"/>
    <w:rsid w:val="00D02C51"/>
    <w:rsid w:val="00D02FFD"/>
    <w:rsid w:val="00D052BC"/>
    <w:rsid w:val="00D05CAC"/>
    <w:rsid w:val="00D05CDB"/>
    <w:rsid w:val="00D06415"/>
    <w:rsid w:val="00D06ED0"/>
    <w:rsid w:val="00D06F78"/>
    <w:rsid w:val="00D06FB1"/>
    <w:rsid w:val="00D0795F"/>
    <w:rsid w:val="00D10EFE"/>
    <w:rsid w:val="00D11887"/>
    <w:rsid w:val="00D118E0"/>
    <w:rsid w:val="00D12077"/>
    <w:rsid w:val="00D12088"/>
    <w:rsid w:val="00D121BA"/>
    <w:rsid w:val="00D13097"/>
    <w:rsid w:val="00D13932"/>
    <w:rsid w:val="00D154BE"/>
    <w:rsid w:val="00D16417"/>
    <w:rsid w:val="00D16DC1"/>
    <w:rsid w:val="00D16DE5"/>
    <w:rsid w:val="00D17B2E"/>
    <w:rsid w:val="00D21B5A"/>
    <w:rsid w:val="00D230FE"/>
    <w:rsid w:val="00D23863"/>
    <w:rsid w:val="00D238A9"/>
    <w:rsid w:val="00D23B8D"/>
    <w:rsid w:val="00D23E30"/>
    <w:rsid w:val="00D24268"/>
    <w:rsid w:val="00D246CD"/>
    <w:rsid w:val="00D26A85"/>
    <w:rsid w:val="00D26C45"/>
    <w:rsid w:val="00D26CD6"/>
    <w:rsid w:val="00D273FF"/>
    <w:rsid w:val="00D30B6F"/>
    <w:rsid w:val="00D3117D"/>
    <w:rsid w:val="00D31525"/>
    <w:rsid w:val="00D31911"/>
    <w:rsid w:val="00D31B74"/>
    <w:rsid w:val="00D3226D"/>
    <w:rsid w:val="00D33B8A"/>
    <w:rsid w:val="00D33D33"/>
    <w:rsid w:val="00D356CC"/>
    <w:rsid w:val="00D35765"/>
    <w:rsid w:val="00D357BA"/>
    <w:rsid w:val="00D3597F"/>
    <w:rsid w:val="00D36DA8"/>
    <w:rsid w:val="00D37081"/>
    <w:rsid w:val="00D373ED"/>
    <w:rsid w:val="00D3798C"/>
    <w:rsid w:val="00D37C5C"/>
    <w:rsid w:val="00D408C8"/>
    <w:rsid w:val="00D4183A"/>
    <w:rsid w:val="00D41B39"/>
    <w:rsid w:val="00D41BA7"/>
    <w:rsid w:val="00D41BD0"/>
    <w:rsid w:val="00D43F19"/>
    <w:rsid w:val="00D43FFB"/>
    <w:rsid w:val="00D44DC1"/>
    <w:rsid w:val="00D4504D"/>
    <w:rsid w:val="00D45C02"/>
    <w:rsid w:val="00D465B4"/>
    <w:rsid w:val="00D46841"/>
    <w:rsid w:val="00D46853"/>
    <w:rsid w:val="00D46874"/>
    <w:rsid w:val="00D4794D"/>
    <w:rsid w:val="00D50314"/>
    <w:rsid w:val="00D50BFB"/>
    <w:rsid w:val="00D50CBD"/>
    <w:rsid w:val="00D510C5"/>
    <w:rsid w:val="00D519E2"/>
    <w:rsid w:val="00D5200B"/>
    <w:rsid w:val="00D52681"/>
    <w:rsid w:val="00D53090"/>
    <w:rsid w:val="00D534DC"/>
    <w:rsid w:val="00D53701"/>
    <w:rsid w:val="00D546CB"/>
    <w:rsid w:val="00D54857"/>
    <w:rsid w:val="00D549D8"/>
    <w:rsid w:val="00D54DC2"/>
    <w:rsid w:val="00D56B95"/>
    <w:rsid w:val="00D57054"/>
    <w:rsid w:val="00D57200"/>
    <w:rsid w:val="00D6000B"/>
    <w:rsid w:val="00D60637"/>
    <w:rsid w:val="00D61780"/>
    <w:rsid w:val="00D61AFD"/>
    <w:rsid w:val="00D620A5"/>
    <w:rsid w:val="00D6235F"/>
    <w:rsid w:val="00D63F24"/>
    <w:rsid w:val="00D64405"/>
    <w:rsid w:val="00D65A1D"/>
    <w:rsid w:val="00D66CBD"/>
    <w:rsid w:val="00D67093"/>
    <w:rsid w:val="00D670D0"/>
    <w:rsid w:val="00D6749C"/>
    <w:rsid w:val="00D677FE"/>
    <w:rsid w:val="00D703D4"/>
    <w:rsid w:val="00D71BC7"/>
    <w:rsid w:val="00D71CC6"/>
    <w:rsid w:val="00D71F94"/>
    <w:rsid w:val="00D72995"/>
    <w:rsid w:val="00D72BE4"/>
    <w:rsid w:val="00D72F20"/>
    <w:rsid w:val="00D73519"/>
    <w:rsid w:val="00D749BC"/>
    <w:rsid w:val="00D74D18"/>
    <w:rsid w:val="00D760DE"/>
    <w:rsid w:val="00D80034"/>
    <w:rsid w:val="00D808D9"/>
    <w:rsid w:val="00D80AF1"/>
    <w:rsid w:val="00D80F14"/>
    <w:rsid w:val="00D8133F"/>
    <w:rsid w:val="00D81872"/>
    <w:rsid w:val="00D82ADA"/>
    <w:rsid w:val="00D835E2"/>
    <w:rsid w:val="00D85602"/>
    <w:rsid w:val="00D85727"/>
    <w:rsid w:val="00D857C3"/>
    <w:rsid w:val="00D858BE"/>
    <w:rsid w:val="00D860F5"/>
    <w:rsid w:val="00D861EC"/>
    <w:rsid w:val="00D8633B"/>
    <w:rsid w:val="00D86D50"/>
    <w:rsid w:val="00D90AFC"/>
    <w:rsid w:val="00D90BE6"/>
    <w:rsid w:val="00D91632"/>
    <w:rsid w:val="00D91F0F"/>
    <w:rsid w:val="00D92206"/>
    <w:rsid w:val="00D9246A"/>
    <w:rsid w:val="00D92D47"/>
    <w:rsid w:val="00D9432B"/>
    <w:rsid w:val="00D94B84"/>
    <w:rsid w:val="00D95D73"/>
    <w:rsid w:val="00D97BFC"/>
    <w:rsid w:val="00DA05C7"/>
    <w:rsid w:val="00DA0B4C"/>
    <w:rsid w:val="00DA0B84"/>
    <w:rsid w:val="00DA1B5C"/>
    <w:rsid w:val="00DA254D"/>
    <w:rsid w:val="00DA2F72"/>
    <w:rsid w:val="00DA3C4A"/>
    <w:rsid w:val="00DA4701"/>
    <w:rsid w:val="00DA47D9"/>
    <w:rsid w:val="00DA5236"/>
    <w:rsid w:val="00DA54B7"/>
    <w:rsid w:val="00DA5E04"/>
    <w:rsid w:val="00DA6858"/>
    <w:rsid w:val="00DA6CA5"/>
    <w:rsid w:val="00DB0A51"/>
    <w:rsid w:val="00DB0A9B"/>
    <w:rsid w:val="00DB0EB1"/>
    <w:rsid w:val="00DB12EE"/>
    <w:rsid w:val="00DB1844"/>
    <w:rsid w:val="00DB1EB6"/>
    <w:rsid w:val="00DB25CD"/>
    <w:rsid w:val="00DB2BCC"/>
    <w:rsid w:val="00DB4300"/>
    <w:rsid w:val="00DB4869"/>
    <w:rsid w:val="00DB51D0"/>
    <w:rsid w:val="00DB526C"/>
    <w:rsid w:val="00DB5D02"/>
    <w:rsid w:val="00DB5E3B"/>
    <w:rsid w:val="00DC03AC"/>
    <w:rsid w:val="00DC047B"/>
    <w:rsid w:val="00DC1150"/>
    <w:rsid w:val="00DC2933"/>
    <w:rsid w:val="00DC3817"/>
    <w:rsid w:val="00DC3B2F"/>
    <w:rsid w:val="00DC3B71"/>
    <w:rsid w:val="00DC4567"/>
    <w:rsid w:val="00DC48A0"/>
    <w:rsid w:val="00DC4E57"/>
    <w:rsid w:val="00DC4F9E"/>
    <w:rsid w:val="00DC50E0"/>
    <w:rsid w:val="00DC565C"/>
    <w:rsid w:val="00DC5AF1"/>
    <w:rsid w:val="00DC5D04"/>
    <w:rsid w:val="00DC63A1"/>
    <w:rsid w:val="00DC6B60"/>
    <w:rsid w:val="00DC6BCA"/>
    <w:rsid w:val="00DC6C28"/>
    <w:rsid w:val="00DC6C47"/>
    <w:rsid w:val="00DC6DFB"/>
    <w:rsid w:val="00DD1032"/>
    <w:rsid w:val="00DD19D9"/>
    <w:rsid w:val="00DD1BBF"/>
    <w:rsid w:val="00DD1CA6"/>
    <w:rsid w:val="00DD3357"/>
    <w:rsid w:val="00DD34EF"/>
    <w:rsid w:val="00DD3B96"/>
    <w:rsid w:val="00DD564F"/>
    <w:rsid w:val="00DD5BD1"/>
    <w:rsid w:val="00DD73AE"/>
    <w:rsid w:val="00DD7A1E"/>
    <w:rsid w:val="00DE01D6"/>
    <w:rsid w:val="00DE06C1"/>
    <w:rsid w:val="00DE10D4"/>
    <w:rsid w:val="00DE16D7"/>
    <w:rsid w:val="00DE1B67"/>
    <w:rsid w:val="00DE2671"/>
    <w:rsid w:val="00DE2966"/>
    <w:rsid w:val="00DE3BCC"/>
    <w:rsid w:val="00DE499D"/>
    <w:rsid w:val="00DE4E89"/>
    <w:rsid w:val="00DE5E76"/>
    <w:rsid w:val="00DE6B2C"/>
    <w:rsid w:val="00DE72D7"/>
    <w:rsid w:val="00DE7B5C"/>
    <w:rsid w:val="00DF00FC"/>
    <w:rsid w:val="00DF0318"/>
    <w:rsid w:val="00DF03B4"/>
    <w:rsid w:val="00DF23B2"/>
    <w:rsid w:val="00DF71DD"/>
    <w:rsid w:val="00DF7757"/>
    <w:rsid w:val="00DF77D4"/>
    <w:rsid w:val="00DF7A08"/>
    <w:rsid w:val="00E008EC"/>
    <w:rsid w:val="00E00CB6"/>
    <w:rsid w:val="00E00E65"/>
    <w:rsid w:val="00E0191A"/>
    <w:rsid w:val="00E02657"/>
    <w:rsid w:val="00E0296F"/>
    <w:rsid w:val="00E0320A"/>
    <w:rsid w:val="00E03BB7"/>
    <w:rsid w:val="00E0415F"/>
    <w:rsid w:val="00E04DA1"/>
    <w:rsid w:val="00E051AB"/>
    <w:rsid w:val="00E06B34"/>
    <w:rsid w:val="00E06D9E"/>
    <w:rsid w:val="00E07B03"/>
    <w:rsid w:val="00E105F7"/>
    <w:rsid w:val="00E106D2"/>
    <w:rsid w:val="00E10924"/>
    <w:rsid w:val="00E11798"/>
    <w:rsid w:val="00E1189B"/>
    <w:rsid w:val="00E11BBB"/>
    <w:rsid w:val="00E128BB"/>
    <w:rsid w:val="00E132DB"/>
    <w:rsid w:val="00E134DC"/>
    <w:rsid w:val="00E136F1"/>
    <w:rsid w:val="00E13A60"/>
    <w:rsid w:val="00E13FAE"/>
    <w:rsid w:val="00E14B77"/>
    <w:rsid w:val="00E1567A"/>
    <w:rsid w:val="00E1594E"/>
    <w:rsid w:val="00E15F03"/>
    <w:rsid w:val="00E165C1"/>
    <w:rsid w:val="00E175E0"/>
    <w:rsid w:val="00E17EA1"/>
    <w:rsid w:val="00E2020E"/>
    <w:rsid w:val="00E20D1D"/>
    <w:rsid w:val="00E219FF"/>
    <w:rsid w:val="00E21AF6"/>
    <w:rsid w:val="00E21E49"/>
    <w:rsid w:val="00E225EA"/>
    <w:rsid w:val="00E23343"/>
    <w:rsid w:val="00E24C8E"/>
    <w:rsid w:val="00E25BC1"/>
    <w:rsid w:val="00E25DBF"/>
    <w:rsid w:val="00E26073"/>
    <w:rsid w:val="00E2622C"/>
    <w:rsid w:val="00E264CB"/>
    <w:rsid w:val="00E26554"/>
    <w:rsid w:val="00E26B19"/>
    <w:rsid w:val="00E26D6D"/>
    <w:rsid w:val="00E27D60"/>
    <w:rsid w:val="00E3026C"/>
    <w:rsid w:val="00E30937"/>
    <w:rsid w:val="00E30B03"/>
    <w:rsid w:val="00E30DFA"/>
    <w:rsid w:val="00E30EFD"/>
    <w:rsid w:val="00E31190"/>
    <w:rsid w:val="00E315B6"/>
    <w:rsid w:val="00E32992"/>
    <w:rsid w:val="00E33110"/>
    <w:rsid w:val="00E33534"/>
    <w:rsid w:val="00E33ACE"/>
    <w:rsid w:val="00E33D6D"/>
    <w:rsid w:val="00E345D1"/>
    <w:rsid w:val="00E34C9D"/>
    <w:rsid w:val="00E34CEC"/>
    <w:rsid w:val="00E351E5"/>
    <w:rsid w:val="00E35DD4"/>
    <w:rsid w:val="00E36337"/>
    <w:rsid w:val="00E366A1"/>
    <w:rsid w:val="00E3791E"/>
    <w:rsid w:val="00E40BC0"/>
    <w:rsid w:val="00E419EE"/>
    <w:rsid w:val="00E41B9E"/>
    <w:rsid w:val="00E44444"/>
    <w:rsid w:val="00E456C1"/>
    <w:rsid w:val="00E46224"/>
    <w:rsid w:val="00E464E5"/>
    <w:rsid w:val="00E46584"/>
    <w:rsid w:val="00E46AB9"/>
    <w:rsid w:val="00E46C76"/>
    <w:rsid w:val="00E4790C"/>
    <w:rsid w:val="00E5080A"/>
    <w:rsid w:val="00E50D2A"/>
    <w:rsid w:val="00E50DA8"/>
    <w:rsid w:val="00E5106C"/>
    <w:rsid w:val="00E51119"/>
    <w:rsid w:val="00E51FAF"/>
    <w:rsid w:val="00E524A9"/>
    <w:rsid w:val="00E53DA7"/>
    <w:rsid w:val="00E54083"/>
    <w:rsid w:val="00E541B1"/>
    <w:rsid w:val="00E54329"/>
    <w:rsid w:val="00E54687"/>
    <w:rsid w:val="00E5493A"/>
    <w:rsid w:val="00E55140"/>
    <w:rsid w:val="00E5531C"/>
    <w:rsid w:val="00E55683"/>
    <w:rsid w:val="00E564D6"/>
    <w:rsid w:val="00E56F06"/>
    <w:rsid w:val="00E602DB"/>
    <w:rsid w:val="00E62C5D"/>
    <w:rsid w:val="00E645F5"/>
    <w:rsid w:val="00E65384"/>
    <w:rsid w:val="00E6581B"/>
    <w:rsid w:val="00E65891"/>
    <w:rsid w:val="00E65CBB"/>
    <w:rsid w:val="00E67060"/>
    <w:rsid w:val="00E67AAE"/>
    <w:rsid w:val="00E70BF2"/>
    <w:rsid w:val="00E71112"/>
    <w:rsid w:val="00E7197D"/>
    <w:rsid w:val="00E71AAA"/>
    <w:rsid w:val="00E72048"/>
    <w:rsid w:val="00E72FE8"/>
    <w:rsid w:val="00E7361A"/>
    <w:rsid w:val="00E73B85"/>
    <w:rsid w:val="00E73E20"/>
    <w:rsid w:val="00E7400A"/>
    <w:rsid w:val="00E747DB"/>
    <w:rsid w:val="00E748D6"/>
    <w:rsid w:val="00E75315"/>
    <w:rsid w:val="00E75906"/>
    <w:rsid w:val="00E75C8B"/>
    <w:rsid w:val="00E75CC3"/>
    <w:rsid w:val="00E76646"/>
    <w:rsid w:val="00E80500"/>
    <w:rsid w:val="00E80F33"/>
    <w:rsid w:val="00E81351"/>
    <w:rsid w:val="00E82078"/>
    <w:rsid w:val="00E82A3D"/>
    <w:rsid w:val="00E82E10"/>
    <w:rsid w:val="00E83471"/>
    <w:rsid w:val="00E83F38"/>
    <w:rsid w:val="00E844FF"/>
    <w:rsid w:val="00E848BE"/>
    <w:rsid w:val="00E85C85"/>
    <w:rsid w:val="00E86039"/>
    <w:rsid w:val="00E86D99"/>
    <w:rsid w:val="00E8724A"/>
    <w:rsid w:val="00E873C5"/>
    <w:rsid w:val="00E8740A"/>
    <w:rsid w:val="00E874A9"/>
    <w:rsid w:val="00E877C5"/>
    <w:rsid w:val="00E87B1A"/>
    <w:rsid w:val="00E87F9A"/>
    <w:rsid w:val="00E908A8"/>
    <w:rsid w:val="00E90CDB"/>
    <w:rsid w:val="00E90EA3"/>
    <w:rsid w:val="00E915D2"/>
    <w:rsid w:val="00E928A3"/>
    <w:rsid w:val="00E92955"/>
    <w:rsid w:val="00E92C7B"/>
    <w:rsid w:val="00E95439"/>
    <w:rsid w:val="00E974C2"/>
    <w:rsid w:val="00E9771B"/>
    <w:rsid w:val="00EA0F07"/>
    <w:rsid w:val="00EA1009"/>
    <w:rsid w:val="00EA105A"/>
    <w:rsid w:val="00EA1538"/>
    <w:rsid w:val="00EA16FB"/>
    <w:rsid w:val="00EA2727"/>
    <w:rsid w:val="00EA27B4"/>
    <w:rsid w:val="00EA3705"/>
    <w:rsid w:val="00EA44DD"/>
    <w:rsid w:val="00EA4AC7"/>
    <w:rsid w:val="00EA54A5"/>
    <w:rsid w:val="00EA556D"/>
    <w:rsid w:val="00EA562F"/>
    <w:rsid w:val="00EA680F"/>
    <w:rsid w:val="00EA68FF"/>
    <w:rsid w:val="00EA7249"/>
    <w:rsid w:val="00EA7B86"/>
    <w:rsid w:val="00EB028F"/>
    <w:rsid w:val="00EB0765"/>
    <w:rsid w:val="00EB127D"/>
    <w:rsid w:val="00EB15ED"/>
    <w:rsid w:val="00EB186D"/>
    <w:rsid w:val="00EB21D3"/>
    <w:rsid w:val="00EB26DF"/>
    <w:rsid w:val="00EB2741"/>
    <w:rsid w:val="00EB298D"/>
    <w:rsid w:val="00EB3CBE"/>
    <w:rsid w:val="00EB44C7"/>
    <w:rsid w:val="00EB5F20"/>
    <w:rsid w:val="00EB62C8"/>
    <w:rsid w:val="00EB64B5"/>
    <w:rsid w:val="00EB6F3C"/>
    <w:rsid w:val="00EB776C"/>
    <w:rsid w:val="00EB78D9"/>
    <w:rsid w:val="00EC12C1"/>
    <w:rsid w:val="00EC1423"/>
    <w:rsid w:val="00EC2307"/>
    <w:rsid w:val="00EC2FCF"/>
    <w:rsid w:val="00EC316F"/>
    <w:rsid w:val="00EC32CE"/>
    <w:rsid w:val="00EC39ED"/>
    <w:rsid w:val="00EC514A"/>
    <w:rsid w:val="00EC54F0"/>
    <w:rsid w:val="00EC6C57"/>
    <w:rsid w:val="00EC6D86"/>
    <w:rsid w:val="00EC7055"/>
    <w:rsid w:val="00ED022B"/>
    <w:rsid w:val="00ED12B8"/>
    <w:rsid w:val="00ED1347"/>
    <w:rsid w:val="00ED2B74"/>
    <w:rsid w:val="00ED3A85"/>
    <w:rsid w:val="00ED407A"/>
    <w:rsid w:val="00ED4295"/>
    <w:rsid w:val="00ED4BC7"/>
    <w:rsid w:val="00ED56FD"/>
    <w:rsid w:val="00ED63EF"/>
    <w:rsid w:val="00ED6E12"/>
    <w:rsid w:val="00ED70C0"/>
    <w:rsid w:val="00EE226B"/>
    <w:rsid w:val="00EE3AFD"/>
    <w:rsid w:val="00EE4547"/>
    <w:rsid w:val="00EE4E70"/>
    <w:rsid w:val="00EE653C"/>
    <w:rsid w:val="00EE667B"/>
    <w:rsid w:val="00EE714D"/>
    <w:rsid w:val="00EE736F"/>
    <w:rsid w:val="00EF009A"/>
    <w:rsid w:val="00EF0138"/>
    <w:rsid w:val="00EF02E4"/>
    <w:rsid w:val="00EF0322"/>
    <w:rsid w:val="00EF07F8"/>
    <w:rsid w:val="00EF0D31"/>
    <w:rsid w:val="00EF269F"/>
    <w:rsid w:val="00EF3909"/>
    <w:rsid w:val="00EF49AC"/>
    <w:rsid w:val="00EF56B0"/>
    <w:rsid w:val="00EF5C3D"/>
    <w:rsid w:val="00EF6489"/>
    <w:rsid w:val="00EF668E"/>
    <w:rsid w:val="00EF7C41"/>
    <w:rsid w:val="00F00A6D"/>
    <w:rsid w:val="00F00B20"/>
    <w:rsid w:val="00F0119E"/>
    <w:rsid w:val="00F02900"/>
    <w:rsid w:val="00F03425"/>
    <w:rsid w:val="00F036F3"/>
    <w:rsid w:val="00F03B4E"/>
    <w:rsid w:val="00F03B98"/>
    <w:rsid w:val="00F048C4"/>
    <w:rsid w:val="00F04958"/>
    <w:rsid w:val="00F058E8"/>
    <w:rsid w:val="00F05BBB"/>
    <w:rsid w:val="00F06A92"/>
    <w:rsid w:val="00F06E28"/>
    <w:rsid w:val="00F07005"/>
    <w:rsid w:val="00F073F7"/>
    <w:rsid w:val="00F07E35"/>
    <w:rsid w:val="00F103DE"/>
    <w:rsid w:val="00F10A26"/>
    <w:rsid w:val="00F10BAC"/>
    <w:rsid w:val="00F11BEA"/>
    <w:rsid w:val="00F11E0D"/>
    <w:rsid w:val="00F130FC"/>
    <w:rsid w:val="00F13DAD"/>
    <w:rsid w:val="00F13EE0"/>
    <w:rsid w:val="00F14A4C"/>
    <w:rsid w:val="00F14DD1"/>
    <w:rsid w:val="00F14FD6"/>
    <w:rsid w:val="00F16081"/>
    <w:rsid w:val="00F1742B"/>
    <w:rsid w:val="00F1745D"/>
    <w:rsid w:val="00F1746B"/>
    <w:rsid w:val="00F174EA"/>
    <w:rsid w:val="00F1795A"/>
    <w:rsid w:val="00F209D3"/>
    <w:rsid w:val="00F20C2F"/>
    <w:rsid w:val="00F21259"/>
    <w:rsid w:val="00F21676"/>
    <w:rsid w:val="00F21F6B"/>
    <w:rsid w:val="00F23070"/>
    <w:rsid w:val="00F234C6"/>
    <w:rsid w:val="00F248F4"/>
    <w:rsid w:val="00F27A53"/>
    <w:rsid w:val="00F30153"/>
    <w:rsid w:val="00F313AA"/>
    <w:rsid w:val="00F325C9"/>
    <w:rsid w:val="00F3425B"/>
    <w:rsid w:val="00F35371"/>
    <w:rsid w:val="00F35478"/>
    <w:rsid w:val="00F35EFC"/>
    <w:rsid w:val="00F36634"/>
    <w:rsid w:val="00F36A1D"/>
    <w:rsid w:val="00F3712A"/>
    <w:rsid w:val="00F37407"/>
    <w:rsid w:val="00F37606"/>
    <w:rsid w:val="00F37725"/>
    <w:rsid w:val="00F37DD0"/>
    <w:rsid w:val="00F40B5B"/>
    <w:rsid w:val="00F40F42"/>
    <w:rsid w:val="00F4196E"/>
    <w:rsid w:val="00F41F11"/>
    <w:rsid w:val="00F42074"/>
    <w:rsid w:val="00F42E3C"/>
    <w:rsid w:val="00F43445"/>
    <w:rsid w:val="00F43929"/>
    <w:rsid w:val="00F44592"/>
    <w:rsid w:val="00F46F11"/>
    <w:rsid w:val="00F473CC"/>
    <w:rsid w:val="00F47402"/>
    <w:rsid w:val="00F5057D"/>
    <w:rsid w:val="00F51D57"/>
    <w:rsid w:val="00F51E39"/>
    <w:rsid w:val="00F52130"/>
    <w:rsid w:val="00F5248E"/>
    <w:rsid w:val="00F5427D"/>
    <w:rsid w:val="00F5429F"/>
    <w:rsid w:val="00F542D3"/>
    <w:rsid w:val="00F55557"/>
    <w:rsid w:val="00F578CD"/>
    <w:rsid w:val="00F602EE"/>
    <w:rsid w:val="00F6038C"/>
    <w:rsid w:val="00F606D9"/>
    <w:rsid w:val="00F60A7E"/>
    <w:rsid w:val="00F60FED"/>
    <w:rsid w:val="00F61680"/>
    <w:rsid w:val="00F618A9"/>
    <w:rsid w:val="00F63B6D"/>
    <w:rsid w:val="00F640AC"/>
    <w:rsid w:val="00F6583B"/>
    <w:rsid w:val="00F65D3E"/>
    <w:rsid w:val="00F66B45"/>
    <w:rsid w:val="00F66C4E"/>
    <w:rsid w:val="00F66C73"/>
    <w:rsid w:val="00F66FD8"/>
    <w:rsid w:val="00F67668"/>
    <w:rsid w:val="00F708A7"/>
    <w:rsid w:val="00F70DF2"/>
    <w:rsid w:val="00F71A96"/>
    <w:rsid w:val="00F72EBB"/>
    <w:rsid w:val="00F73663"/>
    <w:rsid w:val="00F73DBE"/>
    <w:rsid w:val="00F74315"/>
    <w:rsid w:val="00F74F51"/>
    <w:rsid w:val="00F75054"/>
    <w:rsid w:val="00F763E2"/>
    <w:rsid w:val="00F76BAF"/>
    <w:rsid w:val="00F7718B"/>
    <w:rsid w:val="00F778A5"/>
    <w:rsid w:val="00F77A15"/>
    <w:rsid w:val="00F801D6"/>
    <w:rsid w:val="00F82F35"/>
    <w:rsid w:val="00F83AAC"/>
    <w:rsid w:val="00F83D01"/>
    <w:rsid w:val="00F83E70"/>
    <w:rsid w:val="00F841F3"/>
    <w:rsid w:val="00F84322"/>
    <w:rsid w:val="00F85A86"/>
    <w:rsid w:val="00F85C2D"/>
    <w:rsid w:val="00F864C4"/>
    <w:rsid w:val="00F8673A"/>
    <w:rsid w:val="00F878DF"/>
    <w:rsid w:val="00F92138"/>
    <w:rsid w:val="00F93F21"/>
    <w:rsid w:val="00F944AB"/>
    <w:rsid w:val="00F95346"/>
    <w:rsid w:val="00F96441"/>
    <w:rsid w:val="00F96CB5"/>
    <w:rsid w:val="00F9792E"/>
    <w:rsid w:val="00F97BE8"/>
    <w:rsid w:val="00FA01D5"/>
    <w:rsid w:val="00FA0238"/>
    <w:rsid w:val="00FA05C0"/>
    <w:rsid w:val="00FA0D96"/>
    <w:rsid w:val="00FA1E4C"/>
    <w:rsid w:val="00FA2614"/>
    <w:rsid w:val="00FA2DFA"/>
    <w:rsid w:val="00FA377C"/>
    <w:rsid w:val="00FA39C8"/>
    <w:rsid w:val="00FA39C9"/>
    <w:rsid w:val="00FA42D3"/>
    <w:rsid w:val="00FA4386"/>
    <w:rsid w:val="00FA450D"/>
    <w:rsid w:val="00FA4C3E"/>
    <w:rsid w:val="00FA4E6E"/>
    <w:rsid w:val="00FA4E86"/>
    <w:rsid w:val="00FA51CC"/>
    <w:rsid w:val="00FA5B8A"/>
    <w:rsid w:val="00FA6558"/>
    <w:rsid w:val="00FA6D73"/>
    <w:rsid w:val="00FA75B1"/>
    <w:rsid w:val="00FB1315"/>
    <w:rsid w:val="00FB17CD"/>
    <w:rsid w:val="00FB1C63"/>
    <w:rsid w:val="00FB25D3"/>
    <w:rsid w:val="00FB25F6"/>
    <w:rsid w:val="00FB315E"/>
    <w:rsid w:val="00FB3DD2"/>
    <w:rsid w:val="00FB4F87"/>
    <w:rsid w:val="00FB51A6"/>
    <w:rsid w:val="00FB5E09"/>
    <w:rsid w:val="00FB5E66"/>
    <w:rsid w:val="00FB717C"/>
    <w:rsid w:val="00FB7852"/>
    <w:rsid w:val="00FC0AE1"/>
    <w:rsid w:val="00FC0EBB"/>
    <w:rsid w:val="00FC1A9F"/>
    <w:rsid w:val="00FC2277"/>
    <w:rsid w:val="00FC27D8"/>
    <w:rsid w:val="00FC353D"/>
    <w:rsid w:val="00FC3CB7"/>
    <w:rsid w:val="00FC48B3"/>
    <w:rsid w:val="00FC4916"/>
    <w:rsid w:val="00FC63D6"/>
    <w:rsid w:val="00FC641C"/>
    <w:rsid w:val="00FC66FA"/>
    <w:rsid w:val="00FC7150"/>
    <w:rsid w:val="00FC786D"/>
    <w:rsid w:val="00FC7957"/>
    <w:rsid w:val="00FD01A5"/>
    <w:rsid w:val="00FD0849"/>
    <w:rsid w:val="00FD0CA5"/>
    <w:rsid w:val="00FD0EB7"/>
    <w:rsid w:val="00FD0EBA"/>
    <w:rsid w:val="00FD0ED9"/>
    <w:rsid w:val="00FD1042"/>
    <w:rsid w:val="00FD1C12"/>
    <w:rsid w:val="00FD2FD9"/>
    <w:rsid w:val="00FD3208"/>
    <w:rsid w:val="00FD33D7"/>
    <w:rsid w:val="00FD38A0"/>
    <w:rsid w:val="00FD3E8F"/>
    <w:rsid w:val="00FD435E"/>
    <w:rsid w:val="00FD4806"/>
    <w:rsid w:val="00FD4D54"/>
    <w:rsid w:val="00FD55C5"/>
    <w:rsid w:val="00FD62A5"/>
    <w:rsid w:val="00FD6890"/>
    <w:rsid w:val="00FD7348"/>
    <w:rsid w:val="00FD74CD"/>
    <w:rsid w:val="00FE002D"/>
    <w:rsid w:val="00FE018B"/>
    <w:rsid w:val="00FE0882"/>
    <w:rsid w:val="00FE0D1E"/>
    <w:rsid w:val="00FE1CD0"/>
    <w:rsid w:val="00FE262D"/>
    <w:rsid w:val="00FE32EC"/>
    <w:rsid w:val="00FE3B8C"/>
    <w:rsid w:val="00FE4811"/>
    <w:rsid w:val="00FE5BAA"/>
    <w:rsid w:val="00FE6C68"/>
    <w:rsid w:val="00FE6D6C"/>
    <w:rsid w:val="00FE709C"/>
    <w:rsid w:val="00FE715B"/>
    <w:rsid w:val="00FE7CBF"/>
    <w:rsid w:val="00FE7F31"/>
    <w:rsid w:val="00FF1DB2"/>
    <w:rsid w:val="00FF2FCC"/>
    <w:rsid w:val="00FF3AD7"/>
    <w:rsid w:val="00FF480E"/>
    <w:rsid w:val="00FF49A2"/>
    <w:rsid w:val="00FF4FD9"/>
    <w:rsid w:val="00FF5912"/>
    <w:rsid w:val="00FF5F12"/>
    <w:rsid w:val="00FF68AF"/>
    <w:rsid w:val="00FF6977"/>
    <w:rsid w:val="00FF6BD2"/>
    <w:rsid w:val="00FF6C97"/>
    <w:rsid w:val="00FF6CBA"/>
    <w:rsid w:val="00FF7380"/>
    <w:rsid w:val="00FF759F"/>
    <w:rsid w:val="00FF77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0333B6"/>
  <w15:docId w15:val="{52810188-0881-41AE-A80B-E018A019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D47"/>
    <w:pPr>
      <w:spacing w:after="0" w:line="240" w:lineRule="auto"/>
    </w:pPr>
  </w:style>
  <w:style w:type="paragraph" w:styleId="Heading1">
    <w:name w:val="heading 1"/>
    <w:basedOn w:val="Normal"/>
    <w:next w:val="Heading2"/>
    <w:link w:val="Heading1Char"/>
    <w:uiPriority w:val="9"/>
    <w:qFormat/>
    <w:rsid w:val="00533C60"/>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Spacing"/>
    <w:link w:val="Heading2Char"/>
    <w:uiPriority w:val="9"/>
    <w:qFormat/>
    <w:rsid w:val="00533C60"/>
    <w:pPr>
      <w:numPr>
        <w:ilvl w:val="1"/>
      </w:numPr>
      <w:outlineLvl w:val="1"/>
    </w:pPr>
  </w:style>
  <w:style w:type="paragraph" w:styleId="Heading3">
    <w:name w:val="heading 3"/>
    <w:basedOn w:val="Heading2"/>
    <w:next w:val="NoSpacing"/>
    <w:link w:val="Heading3Char"/>
    <w:uiPriority w:val="9"/>
    <w:unhideWhenUsed/>
    <w:qFormat/>
    <w:rsid w:val="00533C60"/>
    <w:pPr>
      <w:numPr>
        <w:ilvl w:val="2"/>
      </w:numPr>
      <w:outlineLvl w:val="2"/>
    </w:pPr>
  </w:style>
  <w:style w:type="paragraph" w:styleId="Heading4">
    <w:name w:val="heading 4"/>
    <w:basedOn w:val="Heading3"/>
    <w:next w:val="NoSpacing"/>
    <w:link w:val="Heading4Char"/>
    <w:uiPriority w:val="9"/>
    <w:unhideWhenUsed/>
    <w:qFormat/>
    <w:rsid w:val="00533C60"/>
    <w:pPr>
      <w:numPr>
        <w:ilvl w:val="3"/>
      </w:numPr>
      <w:outlineLvl w:val="3"/>
    </w:pPr>
  </w:style>
  <w:style w:type="paragraph" w:styleId="Heading5">
    <w:name w:val="heading 5"/>
    <w:basedOn w:val="Normal"/>
    <w:next w:val="Normal"/>
    <w:link w:val="Heading5Char"/>
    <w:uiPriority w:val="9"/>
    <w:semiHidden/>
    <w:unhideWhenUsed/>
    <w:qFormat/>
    <w:rsid w:val="00553E31"/>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3E31"/>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E31"/>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E31"/>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E31"/>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4D47"/>
    <w:pPr>
      <w:spacing w:before="100" w:beforeAutospacing="1" w:after="100" w:afterAutospacing="1"/>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533C6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E3BFC"/>
    <w:rPr>
      <w:color w:val="0000FF"/>
      <w:u w:val="single"/>
    </w:rPr>
  </w:style>
  <w:style w:type="paragraph" w:styleId="ListParagraph">
    <w:name w:val="List Paragraph"/>
    <w:basedOn w:val="Normal"/>
    <w:uiPriority w:val="34"/>
    <w:qFormat/>
    <w:rsid w:val="002E3BFC"/>
    <w:pPr>
      <w:ind w:left="720"/>
      <w:contextualSpacing/>
    </w:pPr>
  </w:style>
  <w:style w:type="character" w:styleId="CommentReference">
    <w:name w:val="annotation reference"/>
    <w:basedOn w:val="DefaultParagraphFont"/>
    <w:uiPriority w:val="99"/>
    <w:semiHidden/>
    <w:unhideWhenUsed/>
    <w:rsid w:val="002E3BFC"/>
    <w:rPr>
      <w:sz w:val="16"/>
      <w:szCs w:val="16"/>
    </w:rPr>
  </w:style>
  <w:style w:type="paragraph" w:styleId="CommentText">
    <w:name w:val="annotation text"/>
    <w:basedOn w:val="Normal"/>
    <w:link w:val="CommentTextChar"/>
    <w:uiPriority w:val="99"/>
    <w:unhideWhenUsed/>
    <w:rsid w:val="002E3BFC"/>
    <w:rPr>
      <w:sz w:val="20"/>
      <w:szCs w:val="20"/>
    </w:rPr>
  </w:style>
  <w:style w:type="character" w:customStyle="1" w:styleId="CommentTextChar">
    <w:name w:val="Comment Text Char"/>
    <w:basedOn w:val="DefaultParagraphFont"/>
    <w:link w:val="CommentText"/>
    <w:uiPriority w:val="99"/>
    <w:rsid w:val="002E3BFC"/>
    <w:rPr>
      <w:sz w:val="20"/>
      <w:szCs w:val="20"/>
    </w:rPr>
  </w:style>
  <w:style w:type="paragraph" w:styleId="CommentSubject">
    <w:name w:val="annotation subject"/>
    <w:basedOn w:val="CommentText"/>
    <w:next w:val="CommentText"/>
    <w:link w:val="CommentSubjectChar"/>
    <w:uiPriority w:val="99"/>
    <w:semiHidden/>
    <w:unhideWhenUsed/>
    <w:rsid w:val="002E3BFC"/>
    <w:rPr>
      <w:b/>
      <w:bCs/>
    </w:rPr>
  </w:style>
  <w:style w:type="character" w:customStyle="1" w:styleId="CommentSubjectChar">
    <w:name w:val="Comment Subject Char"/>
    <w:basedOn w:val="CommentTextChar"/>
    <w:link w:val="CommentSubject"/>
    <w:uiPriority w:val="99"/>
    <w:semiHidden/>
    <w:rsid w:val="002E3BFC"/>
    <w:rPr>
      <w:b/>
      <w:bCs/>
      <w:sz w:val="20"/>
      <w:szCs w:val="20"/>
    </w:rPr>
  </w:style>
  <w:style w:type="paragraph" w:styleId="BalloonText">
    <w:name w:val="Balloon Text"/>
    <w:basedOn w:val="Normal"/>
    <w:link w:val="BalloonTextChar"/>
    <w:uiPriority w:val="99"/>
    <w:semiHidden/>
    <w:unhideWhenUsed/>
    <w:rsid w:val="002E3B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BFC"/>
    <w:rPr>
      <w:rFonts w:ascii="Segoe UI" w:hAnsi="Segoe UI" w:cs="Segoe UI"/>
      <w:sz w:val="18"/>
      <w:szCs w:val="18"/>
    </w:rPr>
  </w:style>
  <w:style w:type="character" w:customStyle="1" w:styleId="Heading1Char">
    <w:name w:val="Heading 1 Char"/>
    <w:basedOn w:val="DefaultParagraphFont"/>
    <w:link w:val="Heading1"/>
    <w:uiPriority w:val="9"/>
    <w:rsid w:val="00533C60"/>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60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33C6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533C6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D511F"/>
    <w:pPr>
      <w:numPr>
        <w:numId w:val="0"/>
      </w:numPr>
      <w:spacing w:line="259" w:lineRule="auto"/>
      <w:outlineLvl w:val="9"/>
    </w:pPr>
    <w:rPr>
      <w:lang w:val="en-US"/>
    </w:rPr>
  </w:style>
  <w:style w:type="paragraph" w:styleId="TOC1">
    <w:name w:val="toc 1"/>
    <w:basedOn w:val="Normal"/>
    <w:next w:val="Normal"/>
    <w:autoRedefine/>
    <w:uiPriority w:val="39"/>
    <w:unhideWhenUsed/>
    <w:rsid w:val="00605304"/>
    <w:pPr>
      <w:tabs>
        <w:tab w:val="left" w:pos="440"/>
        <w:tab w:val="right" w:leader="dot" w:pos="9062"/>
      </w:tabs>
      <w:spacing w:after="100"/>
    </w:pPr>
  </w:style>
  <w:style w:type="paragraph" w:styleId="TOC2">
    <w:name w:val="toc 2"/>
    <w:basedOn w:val="Normal"/>
    <w:next w:val="Normal"/>
    <w:autoRedefine/>
    <w:uiPriority w:val="39"/>
    <w:unhideWhenUsed/>
    <w:rsid w:val="0060141A"/>
    <w:pPr>
      <w:tabs>
        <w:tab w:val="left" w:pos="880"/>
        <w:tab w:val="right" w:leader="dot" w:pos="9062"/>
      </w:tabs>
      <w:spacing w:after="100"/>
      <w:ind w:left="220"/>
    </w:pPr>
  </w:style>
  <w:style w:type="paragraph" w:styleId="NoSpacing">
    <w:name w:val="No Spacing"/>
    <w:link w:val="NoSpacingChar"/>
    <w:uiPriority w:val="5"/>
    <w:qFormat/>
    <w:rsid w:val="00214E3A"/>
    <w:pPr>
      <w:spacing w:after="0" w:line="240" w:lineRule="auto"/>
      <w:jc w:val="both"/>
    </w:pPr>
  </w:style>
  <w:style w:type="paragraph" w:styleId="FootnoteText">
    <w:name w:val="footnote text"/>
    <w:aliases w:val=" Carattere Carattere3"/>
    <w:basedOn w:val="Normal"/>
    <w:link w:val="FootnoteTextChar"/>
    <w:uiPriority w:val="99"/>
    <w:rsid w:val="00DE7B5C"/>
    <w:pPr>
      <w:spacing w:after="240"/>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 Carattere Carattere3 Char"/>
    <w:basedOn w:val="DefaultParagraphFont"/>
    <w:link w:val="FootnoteText"/>
    <w:uiPriority w:val="99"/>
    <w:rsid w:val="00DE7B5C"/>
    <w:rPr>
      <w:rFonts w:ascii="Times New Roman" w:eastAsia="Times New Roman" w:hAnsi="Times New Roman" w:cs="Times New Roman"/>
      <w:sz w:val="20"/>
      <w:szCs w:val="20"/>
    </w:rPr>
  </w:style>
  <w:style w:type="character" w:styleId="FootnoteReference">
    <w:name w:val="footnote reference"/>
    <w:uiPriority w:val="99"/>
    <w:rsid w:val="00DE7B5C"/>
    <w:rPr>
      <w:vertAlign w:val="superscript"/>
    </w:rPr>
  </w:style>
  <w:style w:type="paragraph" w:styleId="TOC3">
    <w:name w:val="toc 3"/>
    <w:basedOn w:val="Normal"/>
    <w:next w:val="Normal"/>
    <w:autoRedefine/>
    <w:uiPriority w:val="39"/>
    <w:unhideWhenUsed/>
    <w:rsid w:val="0060141A"/>
    <w:pPr>
      <w:tabs>
        <w:tab w:val="left" w:pos="1320"/>
        <w:tab w:val="right" w:leader="dot" w:pos="9062"/>
      </w:tabs>
      <w:spacing w:after="100"/>
      <w:ind w:left="440"/>
    </w:pPr>
  </w:style>
  <w:style w:type="paragraph" w:styleId="Title">
    <w:name w:val="Title"/>
    <w:basedOn w:val="Normal"/>
    <w:next w:val="Normal"/>
    <w:link w:val="TitleChar"/>
    <w:uiPriority w:val="10"/>
    <w:qFormat/>
    <w:rsid w:val="008A51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1DC"/>
    <w:rPr>
      <w:rFonts w:asciiTheme="majorHAnsi" w:eastAsiaTheme="majorEastAsia" w:hAnsiTheme="majorHAnsi" w:cstheme="majorBidi"/>
      <w:spacing w:val="-10"/>
      <w:kern w:val="28"/>
      <w:sz w:val="56"/>
      <w:szCs w:val="56"/>
    </w:rPr>
  </w:style>
  <w:style w:type="paragraph" w:customStyle="1" w:styleId="Text1">
    <w:name w:val="Text 1"/>
    <w:basedOn w:val="Normal"/>
    <w:rsid w:val="00A702FB"/>
    <w:pPr>
      <w:spacing w:after="240"/>
      <w:ind w:left="482"/>
      <w:jc w:val="both"/>
    </w:pPr>
    <w:rPr>
      <w:rFonts w:ascii="Times New Roman" w:eastAsia="Times New Roman" w:hAnsi="Times New Roman" w:cs="Times New Roman"/>
      <w:sz w:val="24"/>
      <w:szCs w:val="20"/>
    </w:rPr>
  </w:style>
  <w:style w:type="paragraph" w:customStyle="1" w:styleId="Text2">
    <w:name w:val="Text 2"/>
    <w:basedOn w:val="Normal"/>
    <w:rsid w:val="00A702FB"/>
    <w:pPr>
      <w:tabs>
        <w:tab w:val="left" w:pos="2302"/>
      </w:tabs>
      <w:spacing w:after="240"/>
      <w:ind w:left="1202"/>
      <w:jc w:val="both"/>
    </w:pPr>
    <w:rPr>
      <w:rFonts w:ascii="Times New Roman" w:eastAsia="Times New Roman" w:hAnsi="Times New Roman" w:cs="Times New Roman"/>
      <w:sz w:val="24"/>
      <w:szCs w:val="20"/>
    </w:rPr>
  </w:style>
  <w:style w:type="paragraph" w:styleId="Caption">
    <w:name w:val="caption"/>
    <w:basedOn w:val="Normal"/>
    <w:next w:val="Normal"/>
    <w:qFormat/>
    <w:rsid w:val="00E105F7"/>
    <w:pPr>
      <w:keepNext/>
      <w:spacing w:before="120"/>
      <w:jc w:val="both"/>
    </w:pPr>
    <w:rPr>
      <w:rFonts w:ascii="Times New Roman" w:eastAsia="Times New Roman" w:hAnsi="Times New Roman" w:cs="Times New Roman"/>
      <w:b/>
      <w:sz w:val="24"/>
      <w:szCs w:val="20"/>
    </w:rPr>
  </w:style>
  <w:style w:type="paragraph" w:styleId="Footer">
    <w:name w:val="footer"/>
    <w:basedOn w:val="Normal"/>
    <w:link w:val="FooterChar"/>
    <w:uiPriority w:val="99"/>
    <w:rsid w:val="00A702FB"/>
    <w:pPr>
      <w:ind w:right="-567"/>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A702FB"/>
    <w:rPr>
      <w:rFonts w:ascii="Arial" w:eastAsia="Times New Roman" w:hAnsi="Arial" w:cs="Times New Roman"/>
      <w:sz w:val="16"/>
      <w:szCs w:val="20"/>
    </w:rPr>
  </w:style>
  <w:style w:type="paragraph" w:styleId="Header">
    <w:name w:val="header"/>
    <w:basedOn w:val="Normal"/>
    <w:link w:val="HeaderChar"/>
    <w:uiPriority w:val="99"/>
    <w:rsid w:val="00A702FB"/>
    <w:pPr>
      <w:tabs>
        <w:tab w:val="center" w:pos="4153"/>
        <w:tab w:val="right" w:pos="8306"/>
      </w:tabs>
      <w:spacing w:after="240"/>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702FB"/>
    <w:rPr>
      <w:rFonts w:ascii="Times New Roman" w:eastAsia="Times New Roman" w:hAnsi="Times New Roman" w:cs="Times New Roman"/>
      <w:sz w:val="24"/>
      <w:szCs w:val="20"/>
    </w:rPr>
  </w:style>
  <w:style w:type="table" w:styleId="LightShading-Accent1">
    <w:name w:val="Light Shading Accent 1"/>
    <w:basedOn w:val="TableNormal"/>
    <w:uiPriority w:val="60"/>
    <w:rsid w:val="001838CC"/>
    <w:pPr>
      <w:spacing w:after="0" w:line="240" w:lineRule="auto"/>
    </w:pPr>
    <w:rPr>
      <w:rFonts w:ascii="Calibri" w:eastAsia="Calibri" w:hAnsi="Calibri" w:cs="Times New Roman"/>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basedOn w:val="DefaultParagraphFont"/>
    <w:link w:val="NoSpacing"/>
    <w:uiPriority w:val="5"/>
    <w:rsid w:val="00214E3A"/>
  </w:style>
  <w:style w:type="paragraph" w:styleId="Revision">
    <w:name w:val="Revision"/>
    <w:hidden/>
    <w:uiPriority w:val="99"/>
    <w:semiHidden/>
    <w:rsid w:val="006C7618"/>
    <w:pPr>
      <w:spacing w:after="0" w:line="240" w:lineRule="auto"/>
    </w:pPr>
  </w:style>
  <w:style w:type="paragraph" w:customStyle="1" w:styleId="ti-art">
    <w:name w:val="ti-art"/>
    <w:basedOn w:val="Normal"/>
    <w:rsid w:val="00305245"/>
    <w:pPr>
      <w:spacing w:before="100" w:beforeAutospacing="1" w:after="100" w:afterAutospacing="1"/>
    </w:pPr>
    <w:rPr>
      <w:rFonts w:ascii="Times New Roman" w:eastAsia="Times New Roman" w:hAnsi="Times New Roman" w:cs="Times New Roman"/>
      <w:sz w:val="24"/>
      <w:szCs w:val="24"/>
      <w:lang w:val="en-US"/>
    </w:rPr>
  </w:style>
  <w:style w:type="paragraph" w:customStyle="1" w:styleId="sti-art">
    <w:name w:val="sti-art"/>
    <w:basedOn w:val="Normal"/>
    <w:rsid w:val="00305245"/>
    <w:pPr>
      <w:spacing w:before="100" w:beforeAutospacing="1" w:after="100" w:afterAutospacing="1"/>
    </w:pPr>
    <w:rPr>
      <w:rFonts w:ascii="Times New Roman" w:eastAsia="Times New Roman" w:hAnsi="Times New Roman" w:cs="Times New Roman"/>
      <w:sz w:val="24"/>
      <w:szCs w:val="24"/>
      <w:lang w:val="en-US"/>
    </w:rPr>
  </w:style>
  <w:style w:type="paragraph" w:customStyle="1" w:styleId="Normal1">
    <w:name w:val="Normal1"/>
    <w:basedOn w:val="Normal"/>
    <w:rsid w:val="00305245"/>
    <w:pPr>
      <w:spacing w:before="100" w:beforeAutospacing="1" w:after="100" w:afterAutospacing="1"/>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38352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38352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383523"/>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383523"/>
    <w:rPr>
      <w:rFonts w:ascii="Arial" w:eastAsia="Times New Roman" w:hAnsi="Arial" w:cs="Arial"/>
      <w:vanish/>
      <w:sz w:val="16"/>
      <w:szCs w:val="16"/>
      <w:lang w:val="en-US"/>
    </w:rPr>
  </w:style>
  <w:style w:type="character" w:styleId="Emphasis">
    <w:name w:val="Emphasis"/>
    <w:basedOn w:val="DefaultParagraphFont"/>
    <w:uiPriority w:val="20"/>
    <w:qFormat/>
    <w:rsid w:val="008775C2"/>
    <w:rPr>
      <w:i/>
      <w:iCs/>
    </w:rPr>
  </w:style>
  <w:style w:type="paragraph" w:customStyle="1" w:styleId="Text3">
    <w:name w:val="Text 3"/>
    <w:basedOn w:val="Normal"/>
    <w:rsid w:val="005608BD"/>
    <w:pPr>
      <w:tabs>
        <w:tab w:val="left" w:pos="2302"/>
      </w:tabs>
      <w:spacing w:after="240"/>
      <w:ind w:left="1202"/>
      <w:jc w:val="both"/>
    </w:pPr>
    <w:rPr>
      <w:rFonts w:ascii="Times New Roman" w:eastAsia="Times New Roman" w:hAnsi="Times New Roman" w:cs="Times New Roman"/>
      <w:sz w:val="24"/>
      <w:szCs w:val="20"/>
    </w:rPr>
  </w:style>
  <w:style w:type="paragraph" w:styleId="Subtitle">
    <w:name w:val="Subtitle"/>
    <w:basedOn w:val="Normal"/>
    <w:link w:val="SubtitleChar"/>
    <w:uiPriority w:val="11"/>
    <w:qFormat/>
    <w:rsid w:val="005608BD"/>
    <w:pPr>
      <w:spacing w:after="60"/>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uiPriority w:val="11"/>
    <w:rsid w:val="005608BD"/>
    <w:rPr>
      <w:rFonts w:ascii="Arial" w:eastAsia="Times New Roman" w:hAnsi="Arial" w:cs="Times New Roman"/>
      <w:sz w:val="24"/>
      <w:szCs w:val="20"/>
    </w:rPr>
  </w:style>
  <w:style w:type="character" w:styleId="IntenseEmphasis">
    <w:name w:val="Intense Emphasis"/>
    <w:basedOn w:val="DefaultParagraphFont"/>
    <w:uiPriority w:val="21"/>
    <w:qFormat/>
    <w:rsid w:val="005608BD"/>
    <w:rPr>
      <w:b/>
      <w:bCs/>
      <w:i/>
      <w:iCs/>
      <w:color w:val="4F81BD" w:themeColor="accent1"/>
    </w:rPr>
  </w:style>
  <w:style w:type="character" w:styleId="FollowedHyperlink">
    <w:name w:val="FollowedHyperlink"/>
    <w:basedOn w:val="DefaultParagraphFont"/>
    <w:uiPriority w:val="99"/>
    <w:semiHidden/>
    <w:unhideWhenUsed/>
    <w:rsid w:val="001A2078"/>
    <w:rPr>
      <w:color w:val="800080" w:themeColor="followedHyperlink"/>
      <w:u w:val="single"/>
    </w:rPr>
  </w:style>
  <w:style w:type="character" w:customStyle="1" w:styleId="Heading5Char">
    <w:name w:val="Heading 5 Char"/>
    <w:basedOn w:val="DefaultParagraphFont"/>
    <w:link w:val="Heading5"/>
    <w:uiPriority w:val="9"/>
    <w:semiHidden/>
    <w:rsid w:val="00553E3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3E3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3E3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53E3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3E31"/>
    <w:rPr>
      <w:rFonts w:asciiTheme="majorHAnsi" w:eastAsiaTheme="majorEastAsia" w:hAnsiTheme="majorHAnsi" w:cstheme="majorBidi"/>
      <w:i/>
      <w:iCs/>
      <w:color w:val="404040" w:themeColor="text1" w:themeTint="BF"/>
      <w:sz w:val="20"/>
      <w:szCs w:val="20"/>
    </w:rPr>
  </w:style>
  <w:style w:type="paragraph" w:customStyle="1" w:styleId="COLLEGAMEnto">
    <w:name w:val="COLLEGAMEnto"/>
    <w:basedOn w:val="Normal"/>
    <w:rsid w:val="00291E03"/>
    <w:rPr>
      <w:rFonts w:ascii="Times New Roman" w:hAnsi="Times New Roman" w:cs="Times New Roman"/>
    </w:rPr>
  </w:style>
  <w:style w:type="paragraph" w:customStyle="1" w:styleId="Collega">
    <w:name w:val="Collega"/>
    <w:basedOn w:val="COLLEGAMEnto"/>
    <w:rsid w:val="00291E03"/>
  </w:style>
  <w:style w:type="character" w:styleId="Strong">
    <w:name w:val="Strong"/>
    <w:basedOn w:val="DefaultParagraphFont"/>
    <w:uiPriority w:val="22"/>
    <w:qFormat/>
    <w:rsid w:val="006C5858"/>
    <w:rPr>
      <w:b/>
      <w:bCs/>
    </w:rPr>
  </w:style>
  <w:style w:type="paragraph" w:styleId="EndnoteText">
    <w:name w:val="endnote text"/>
    <w:basedOn w:val="Normal"/>
    <w:link w:val="EndnoteTextChar"/>
    <w:uiPriority w:val="99"/>
    <w:semiHidden/>
    <w:unhideWhenUsed/>
    <w:rsid w:val="00DA54B7"/>
    <w:rPr>
      <w:sz w:val="20"/>
      <w:szCs w:val="20"/>
    </w:rPr>
  </w:style>
  <w:style w:type="character" w:customStyle="1" w:styleId="EndnoteTextChar">
    <w:name w:val="Endnote Text Char"/>
    <w:basedOn w:val="DefaultParagraphFont"/>
    <w:link w:val="EndnoteText"/>
    <w:uiPriority w:val="99"/>
    <w:semiHidden/>
    <w:rsid w:val="00DA54B7"/>
    <w:rPr>
      <w:sz w:val="20"/>
      <w:szCs w:val="20"/>
    </w:rPr>
  </w:style>
  <w:style w:type="character" w:styleId="EndnoteReference">
    <w:name w:val="endnote reference"/>
    <w:basedOn w:val="DefaultParagraphFont"/>
    <w:uiPriority w:val="99"/>
    <w:semiHidden/>
    <w:unhideWhenUsed/>
    <w:rsid w:val="00DA54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6592">
      <w:bodyDiv w:val="1"/>
      <w:marLeft w:val="0"/>
      <w:marRight w:val="0"/>
      <w:marTop w:val="0"/>
      <w:marBottom w:val="0"/>
      <w:divBdr>
        <w:top w:val="none" w:sz="0" w:space="0" w:color="auto"/>
        <w:left w:val="none" w:sz="0" w:space="0" w:color="auto"/>
        <w:bottom w:val="none" w:sz="0" w:space="0" w:color="auto"/>
        <w:right w:val="none" w:sz="0" w:space="0" w:color="auto"/>
      </w:divBdr>
    </w:div>
    <w:div w:id="106900357">
      <w:bodyDiv w:val="1"/>
      <w:marLeft w:val="0"/>
      <w:marRight w:val="0"/>
      <w:marTop w:val="0"/>
      <w:marBottom w:val="0"/>
      <w:divBdr>
        <w:top w:val="none" w:sz="0" w:space="0" w:color="auto"/>
        <w:left w:val="none" w:sz="0" w:space="0" w:color="auto"/>
        <w:bottom w:val="none" w:sz="0" w:space="0" w:color="auto"/>
        <w:right w:val="none" w:sz="0" w:space="0" w:color="auto"/>
      </w:divBdr>
    </w:div>
    <w:div w:id="130638306">
      <w:bodyDiv w:val="1"/>
      <w:marLeft w:val="0"/>
      <w:marRight w:val="0"/>
      <w:marTop w:val="0"/>
      <w:marBottom w:val="0"/>
      <w:divBdr>
        <w:top w:val="none" w:sz="0" w:space="0" w:color="auto"/>
        <w:left w:val="none" w:sz="0" w:space="0" w:color="auto"/>
        <w:bottom w:val="none" w:sz="0" w:space="0" w:color="auto"/>
        <w:right w:val="none" w:sz="0" w:space="0" w:color="auto"/>
      </w:divBdr>
    </w:div>
    <w:div w:id="152840430">
      <w:bodyDiv w:val="1"/>
      <w:marLeft w:val="0"/>
      <w:marRight w:val="0"/>
      <w:marTop w:val="0"/>
      <w:marBottom w:val="0"/>
      <w:divBdr>
        <w:top w:val="none" w:sz="0" w:space="0" w:color="auto"/>
        <w:left w:val="none" w:sz="0" w:space="0" w:color="auto"/>
        <w:bottom w:val="none" w:sz="0" w:space="0" w:color="auto"/>
        <w:right w:val="none" w:sz="0" w:space="0" w:color="auto"/>
      </w:divBdr>
      <w:divsChild>
        <w:div w:id="672802866">
          <w:marLeft w:val="274"/>
          <w:marRight w:val="0"/>
          <w:marTop w:val="86"/>
          <w:marBottom w:val="0"/>
          <w:divBdr>
            <w:top w:val="none" w:sz="0" w:space="0" w:color="auto"/>
            <w:left w:val="none" w:sz="0" w:space="0" w:color="auto"/>
            <w:bottom w:val="none" w:sz="0" w:space="0" w:color="auto"/>
            <w:right w:val="none" w:sz="0" w:space="0" w:color="auto"/>
          </w:divBdr>
        </w:div>
        <w:div w:id="506486807">
          <w:marLeft w:val="274"/>
          <w:marRight w:val="0"/>
          <w:marTop w:val="86"/>
          <w:marBottom w:val="0"/>
          <w:divBdr>
            <w:top w:val="none" w:sz="0" w:space="0" w:color="auto"/>
            <w:left w:val="none" w:sz="0" w:space="0" w:color="auto"/>
            <w:bottom w:val="none" w:sz="0" w:space="0" w:color="auto"/>
            <w:right w:val="none" w:sz="0" w:space="0" w:color="auto"/>
          </w:divBdr>
        </w:div>
        <w:div w:id="2119447157">
          <w:marLeft w:val="274"/>
          <w:marRight w:val="0"/>
          <w:marTop w:val="86"/>
          <w:marBottom w:val="0"/>
          <w:divBdr>
            <w:top w:val="none" w:sz="0" w:space="0" w:color="auto"/>
            <w:left w:val="none" w:sz="0" w:space="0" w:color="auto"/>
            <w:bottom w:val="none" w:sz="0" w:space="0" w:color="auto"/>
            <w:right w:val="none" w:sz="0" w:space="0" w:color="auto"/>
          </w:divBdr>
        </w:div>
        <w:div w:id="793909737">
          <w:marLeft w:val="274"/>
          <w:marRight w:val="0"/>
          <w:marTop w:val="86"/>
          <w:marBottom w:val="0"/>
          <w:divBdr>
            <w:top w:val="none" w:sz="0" w:space="0" w:color="auto"/>
            <w:left w:val="none" w:sz="0" w:space="0" w:color="auto"/>
            <w:bottom w:val="none" w:sz="0" w:space="0" w:color="auto"/>
            <w:right w:val="none" w:sz="0" w:space="0" w:color="auto"/>
          </w:divBdr>
        </w:div>
        <w:div w:id="1746486190">
          <w:marLeft w:val="274"/>
          <w:marRight w:val="0"/>
          <w:marTop w:val="86"/>
          <w:marBottom w:val="0"/>
          <w:divBdr>
            <w:top w:val="none" w:sz="0" w:space="0" w:color="auto"/>
            <w:left w:val="none" w:sz="0" w:space="0" w:color="auto"/>
            <w:bottom w:val="none" w:sz="0" w:space="0" w:color="auto"/>
            <w:right w:val="none" w:sz="0" w:space="0" w:color="auto"/>
          </w:divBdr>
        </w:div>
      </w:divsChild>
    </w:div>
    <w:div w:id="198981162">
      <w:bodyDiv w:val="1"/>
      <w:marLeft w:val="0"/>
      <w:marRight w:val="0"/>
      <w:marTop w:val="0"/>
      <w:marBottom w:val="0"/>
      <w:divBdr>
        <w:top w:val="none" w:sz="0" w:space="0" w:color="auto"/>
        <w:left w:val="none" w:sz="0" w:space="0" w:color="auto"/>
        <w:bottom w:val="none" w:sz="0" w:space="0" w:color="auto"/>
        <w:right w:val="none" w:sz="0" w:space="0" w:color="auto"/>
      </w:divBdr>
    </w:div>
    <w:div w:id="204947829">
      <w:bodyDiv w:val="1"/>
      <w:marLeft w:val="0"/>
      <w:marRight w:val="0"/>
      <w:marTop w:val="0"/>
      <w:marBottom w:val="0"/>
      <w:divBdr>
        <w:top w:val="none" w:sz="0" w:space="0" w:color="auto"/>
        <w:left w:val="none" w:sz="0" w:space="0" w:color="auto"/>
        <w:bottom w:val="none" w:sz="0" w:space="0" w:color="auto"/>
        <w:right w:val="none" w:sz="0" w:space="0" w:color="auto"/>
      </w:divBdr>
    </w:div>
    <w:div w:id="212934495">
      <w:bodyDiv w:val="1"/>
      <w:marLeft w:val="0"/>
      <w:marRight w:val="0"/>
      <w:marTop w:val="0"/>
      <w:marBottom w:val="0"/>
      <w:divBdr>
        <w:top w:val="none" w:sz="0" w:space="0" w:color="auto"/>
        <w:left w:val="none" w:sz="0" w:space="0" w:color="auto"/>
        <w:bottom w:val="none" w:sz="0" w:space="0" w:color="auto"/>
        <w:right w:val="none" w:sz="0" w:space="0" w:color="auto"/>
      </w:divBdr>
      <w:divsChild>
        <w:div w:id="491482807">
          <w:marLeft w:val="547"/>
          <w:marRight w:val="0"/>
          <w:marTop w:val="0"/>
          <w:marBottom w:val="0"/>
          <w:divBdr>
            <w:top w:val="none" w:sz="0" w:space="0" w:color="auto"/>
            <w:left w:val="none" w:sz="0" w:space="0" w:color="auto"/>
            <w:bottom w:val="none" w:sz="0" w:space="0" w:color="auto"/>
            <w:right w:val="none" w:sz="0" w:space="0" w:color="auto"/>
          </w:divBdr>
        </w:div>
      </w:divsChild>
    </w:div>
    <w:div w:id="217396330">
      <w:bodyDiv w:val="1"/>
      <w:marLeft w:val="0"/>
      <w:marRight w:val="0"/>
      <w:marTop w:val="0"/>
      <w:marBottom w:val="0"/>
      <w:divBdr>
        <w:top w:val="none" w:sz="0" w:space="0" w:color="auto"/>
        <w:left w:val="none" w:sz="0" w:space="0" w:color="auto"/>
        <w:bottom w:val="none" w:sz="0" w:space="0" w:color="auto"/>
        <w:right w:val="none" w:sz="0" w:space="0" w:color="auto"/>
      </w:divBdr>
    </w:div>
    <w:div w:id="297078334">
      <w:bodyDiv w:val="1"/>
      <w:marLeft w:val="0"/>
      <w:marRight w:val="0"/>
      <w:marTop w:val="0"/>
      <w:marBottom w:val="0"/>
      <w:divBdr>
        <w:top w:val="none" w:sz="0" w:space="0" w:color="auto"/>
        <w:left w:val="none" w:sz="0" w:space="0" w:color="auto"/>
        <w:bottom w:val="none" w:sz="0" w:space="0" w:color="auto"/>
        <w:right w:val="none" w:sz="0" w:space="0" w:color="auto"/>
      </w:divBdr>
    </w:div>
    <w:div w:id="301203834">
      <w:bodyDiv w:val="1"/>
      <w:marLeft w:val="0"/>
      <w:marRight w:val="0"/>
      <w:marTop w:val="0"/>
      <w:marBottom w:val="0"/>
      <w:divBdr>
        <w:top w:val="none" w:sz="0" w:space="0" w:color="auto"/>
        <w:left w:val="none" w:sz="0" w:space="0" w:color="auto"/>
        <w:bottom w:val="none" w:sz="0" w:space="0" w:color="auto"/>
        <w:right w:val="none" w:sz="0" w:space="0" w:color="auto"/>
      </w:divBdr>
      <w:divsChild>
        <w:div w:id="848527243">
          <w:marLeft w:val="274"/>
          <w:marRight w:val="0"/>
          <w:marTop w:val="86"/>
          <w:marBottom w:val="0"/>
          <w:divBdr>
            <w:top w:val="none" w:sz="0" w:space="0" w:color="auto"/>
            <w:left w:val="none" w:sz="0" w:space="0" w:color="auto"/>
            <w:bottom w:val="none" w:sz="0" w:space="0" w:color="auto"/>
            <w:right w:val="none" w:sz="0" w:space="0" w:color="auto"/>
          </w:divBdr>
        </w:div>
        <w:div w:id="1170871635">
          <w:marLeft w:val="274"/>
          <w:marRight w:val="0"/>
          <w:marTop w:val="86"/>
          <w:marBottom w:val="0"/>
          <w:divBdr>
            <w:top w:val="none" w:sz="0" w:space="0" w:color="auto"/>
            <w:left w:val="none" w:sz="0" w:space="0" w:color="auto"/>
            <w:bottom w:val="none" w:sz="0" w:space="0" w:color="auto"/>
            <w:right w:val="none" w:sz="0" w:space="0" w:color="auto"/>
          </w:divBdr>
        </w:div>
        <w:div w:id="309406113">
          <w:marLeft w:val="274"/>
          <w:marRight w:val="0"/>
          <w:marTop w:val="86"/>
          <w:marBottom w:val="0"/>
          <w:divBdr>
            <w:top w:val="none" w:sz="0" w:space="0" w:color="auto"/>
            <w:left w:val="none" w:sz="0" w:space="0" w:color="auto"/>
            <w:bottom w:val="none" w:sz="0" w:space="0" w:color="auto"/>
            <w:right w:val="none" w:sz="0" w:space="0" w:color="auto"/>
          </w:divBdr>
        </w:div>
        <w:div w:id="864638122">
          <w:marLeft w:val="274"/>
          <w:marRight w:val="0"/>
          <w:marTop w:val="86"/>
          <w:marBottom w:val="0"/>
          <w:divBdr>
            <w:top w:val="none" w:sz="0" w:space="0" w:color="auto"/>
            <w:left w:val="none" w:sz="0" w:space="0" w:color="auto"/>
            <w:bottom w:val="none" w:sz="0" w:space="0" w:color="auto"/>
            <w:right w:val="none" w:sz="0" w:space="0" w:color="auto"/>
          </w:divBdr>
        </w:div>
        <w:div w:id="1250385784">
          <w:marLeft w:val="274"/>
          <w:marRight w:val="0"/>
          <w:marTop w:val="86"/>
          <w:marBottom w:val="0"/>
          <w:divBdr>
            <w:top w:val="none" w:sz="0" w:space="0" w:color="auto"/>
            <w:left w:val="none" w:sz="0" w:space="0" w:color="auto"/>
            <w:bottom w:val="none" w:sz="0" w:space="0" w:color="auto"/>
            <w:right w:val="none" w:sz="0" w:space="0" w:color="auto"/>
          </w:divBdr>
        </w:div>
        <w:div w:id="1294367026">
          <w:marLeft w:val="274"/>
          <w:marRight w:val="0"/>
          <w:marTop w:val="86"/>
          <w:marBottom w:val="0"/>
          <w:divBdr>
            <w:top w:val="none" w:sz="0" w:space="0" w:color="auto"/>
            <w:left w:val="none" w:sz="0" w:space="0" w:color="auto"/>
            <w:bottom w:val="none" w:sz="0" w:space="0" w:color="auto"/>
            <w:right w:val="none" w:sz="0" w:space="0" w:color="auto"/>
          </w:divBdr>
        </w:div>
      </w:divsChild>
    </w:div>
    <w:div w:id="348991358">
      <w:bodyDiv w:val="1"/>
      <w:marLeft w:val="0"/>
      <w:marRight w:val="0"/>
      <w:marTop w:val="0"/>
      <w:marBottom w:val="0"/>
      <w:divBdr>
        <w:top w:val="none" w:sz="0" w:space="0" w:color="auto"/>
        <w:left w:val="none" w:sz="0" w:space="0" w:color="auto"/>
        <w:bottom w:val="none" w:sz="0" w:space="0" w:color="auto"/>
        <w:right w:val="none" w:sz="0" w:space="0" w:color="auto"/>
      </w:divBdr>
    </w:div>
    <w:div w:id="348996493">
      <w:bodyDiv w:val="1"/>
      <w:marLeft w:val="0"/>
      <w:marRight w:val="0"/>
      <w:marTop w:val="0"/>
      <w:marBottom w:val="0"/>
      <w:divBdr>
        <w:top w:val="none" w:sz="0" w:space="0" w:color="auto"/>
        <w:left w:val="none" w:sz="0" w:space="0" w:color="auto"/>
        <w:bottom w:val="none" w:sz="0" w:space="0" w:color="auto"/>
        <w:right w:val="none" w:sz="0" w:space="0" w:color="auto"/>
      </w:divBdr>
    </w:div>
    <w:div w:id="393235632">
      <w:bodyDiv w:val="1"/>
      <w:marLeft w:val="0"/>
      <w:marRight w:val="0"/>
      <w:marTop w:val="0"/>
      <w:marBottom w:val="0"/>
      <w:divBdr>
        <w:top w:val="none" w:sz="0" w:space="0" w:color="auto"/>
        <w:left w:val="none" w:sz="0" w:space="0" w:color="auto"/>
        <w:bottom w:val="none" w:sz="0" w:space="0" w:color="auto"/>
        <w:right w:val="none" w:sz="0" w:space="0" w:color="auto"/>
      </w:divBdr>
    </w:div>
    <w:div w:id="404500022">
      <w:bodyDiv w:val="1"/>
      <w:marLeft w:val="0"/>
      <w:marRight w:val="0"/>
      <w:marTop w:val="0"/>
      <w:marBottom w:val="0"/>
      <w:divBdr>
        <w:top w:val="none" w:sz="0" w:space="0" w:color="auto"/>
        <w:left w:val="none" w:sz="0" w:space="0" w:color="auto"/>
        <w:bottom w:val="none" w:sz="0" w:space="0" w:color="auto"/>
        <w:right w:val="none" w:sz="0" w:space="0" w:color="auto"/>
      </w:divBdr>
    </w:div>
    <w:div w:id="449714667">
      <w:bodyDiv w:val="1"/>
      <w:marLeft w:val="0"/>
      <w:marRight w:val="0"/>
      <w:marTop w:val="0"/>
      <w:marBottom w:val="0"/>
      <w:divBdr>
        <w:top w:val="none" w:sz="0" w:space="0" w:color="auto"/>
        <w:left w:val="none" w:sz="0" w:space="0" w:color="auto"/>
        <w:bottom w:val="none" w:sz="0" w:space="0" w:color="auto"/>
        <w:right w:val="none" w:sz="0" w:space="0" w:color="auto"/>
      </w:divBdr>
    </w:div>
    <w:div w:id="468978254">
      <w:bodyDiv w:val="1"/>
      <w:marLeft w:val="0"/>
      <w:marRight w:val="0"/>
      <w:marTop w:val="0"/>
      <w:marBottom w:val="0"/>
      <w:divBdr>
        <w:top w:val="none" w:sz="0" w:space="0" w:color="auto"/>
        <w:left w:val="none" w:sz="0" w:space="0" w:color="auto"/>
        <w:bottom w:val="none" w:sz="0" w:space="0" w:color="auto"/>
        <w:right w:val="none" w:sz="0" w:space="0" w:color="auto"/>
      </w:divBdr>
      <w:divsChild>
        <w:div w:id="2104110565">
          <w:marLeft w:val="0"/>
          <w:marRight w:val="0"/>
          <w:marTop w:val="0"/>
          <w:marBottom w:val="0"/>
          <w:divBdr>
            <w:top w:val="none" w:sz="0" w:space="0" w:color="auto"/>
            <w:left w:val="none" w:sz="0" w:space="0" w:color="auto"/>
            <w:bottom w:val="none" w:sz="0" w:space="0" w:color="auto"/>
            <w:right w:val="none" w:sz="0" w:space="0" w:color="auto"/>
          </w:divBdr>
          <w:divsChild>
            <w:div w:id="863711515">
              <w:marLeft w:val="240"/>
              <w:marRight w:val="0"/>
              <w:marTop w:val="0"/>
              <w:marBottom w:val="0"/>
              <w:divBdr>
                <w:top w:val="none" w:sz="0" w:space="0" w:color="auto"/>
                <w:left w:val="none" w:sz="0" w:space="0" w:color="auto"/>
                <w:bottom w:val="none" w:sz="0" w:space="0" w:color="auto"/>
                <w:right w:val="none" w:sz="0" w:space="0" w:color="auto"/>
              </w:divBdr>
              <w:divsChild>
                <w:div w:id="964196018">
                  <w:marLeft w:val="0"/>
                  <w:marRight w:val="0"/>
                  <w:marTop w:val="60"/>
                  <w:marBottom w:val="0"/>
                  <w:divBdr>
                    <w:top w:val="none" w:sz="0" w:space="0" w:color="auto"/>
                    <w:left w:val="none" w:sz="0" w:space="0" w:color="auto"/>
                    <w:bottom w:val="none" w:sz="0" w:space="0" w:color="auto"/>
                    <w:right w:val="none" w:sz="0" w:space="0" w:color="auto"/>
                  </w:divBdr>
                  <w:divsChild>
                    <w:div w:id="1765540178">
                      <w:marLeft w:val="0"/>
                      <w:marRight w:val="0"/>
                      <w:marTop w:val="0"/>
                      <w:marBottom w:val="0"/>
                      <w:divBdr>
                        <w:top w:val="single" w:sz="6" w:space="0" w:color="C0D3EB"/>
                        <w:left w:val="single" w:sz="6" w:space="0" w:color="C0D3EB"/>
                        <w:bottom w:val="single" w:sz="6" w:space="0" w:color="C0D3EB"/>
                        <w:right w:val="single" w:sz="6" w:space="0" w:color="C0D3EB"/>
                      </w:divBdr>
                      <w:divsChild>
                        <w:div w:id="20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206317">
      <w:bodyDiv w:val="1"/>
      <w:marLeft w:val="0"/>
      <w:marRight w:val="0"/>
      <w:marTop w:val="0"/>
      <w:marBottom w:val="0"/>
      <w:divBdr>
        <w:top w:val="none" w:sz="0" w:space="0" w:color="auto"/>
        <w:left w:val="none" w:sz="0" w:space="0" w:color="auto"/>
        <w:bottom w:val="none" w:sz="0" w:space="0" w:color="auto"/>
        <w:right w:val="none" w:sz="0" w:space="0" w:color="auto"/>
      </w:divBdr>
    </w:div>
    <w:div w:id="729502227">
      <w:bodyDiv w:val="1"/>
      <w:marLeft w:val="0"/>
      <w:marRight w:val="0"/>
      <w:marTop w:val="0"/>
      <w:marBottom w:val="0"/>
      <w:divBdr>
        <w:top w:val="none" w:sz="0" w:space="0" w:color="auto"/>
        <w:left w:val="none" w:sz="0" w:space="0" w:color="auto"/>
        <w:bottom w:val="none" w:sz="0" w:space="0" w:color="auto"/>
        <w:right w:val="none" w:sz="0" w:space="0" w:color="auto"/>
      </w:divBdr>
      <w:divsChild>
        <w:div w:id="1323965776">
          <w:blockQuote w:val="1"/>
          <w:marLeft w:val="0"/>
          <w:marRight w:val="0"/>
          <w:marTop w:val="0"/>
          <w:marBottom w:val="240"/>
          <w:divBdr>
            <w:top w:val="none" w:sz="0" w:space="0" w:color="auto"/>
            <w:left w:val="single" w:sz="24" w:space="12" w:color="DFE2E5"/>
            <w:bottom w:val="none" w:sz="0" w:space="0" w:color="auto"/>
            <w:right w:val="none" w:sz="0" w:space="0" w:color="auto"/>
          </w:divBdr>
        </w:div>
      </w:divsChild>
    </w:div>
    <w:div w:id="731268757">
      <w:bodyDiv w:val="1"/>
      <w:marLeft w:val="0"/>
      <w:marRight w:val="0"/>
      <w:marTop w:val="0"/>
      <w:marBottom w:val="0"/>
      <w:divBdr>
        <w:top w:val="none" w:sz="0" w:space="0" w:color="auto"/>
        <w:left w:val="none" w:sz="0" w:space="0" w:color="auto"/>
        <w:bottom w:val="none" w:sz="0" w:space="0" w:color="auto"/>
        <w:right w:val="none" w:sz="0" w:space="0" w:color="auto"/>
      </w:divBdr>
    </w:div>
    <w:div w:id="734083747">
      <w:bodyDiv w:val="1"/>
      <w:marLeft w:val="0"/>
      <w:marRight w:val="0"/>
      <w:marTop w:val="0"/>
      <w:marBottom w:val="0"/>
      <w:divBdr>
        <w:top w:val="none" w:sz="0" w:space="0" w:color="auto"/>
        <w:left w:val="none" w:sz="0" w:space="0" w:color="auto"/>
        <w:bottom w:val="none" w:sz="0" w:space="0" w:color="auto"/>
        <w:right w:val="none" w:sz="0" w:space="0" w:color="auto"/>
      </w:divBdr>
    </w:div>
    <w:div w:id="797720280">
      <w:bodyDiv w:val="1"/>
      <w:marLeft w:val="0"/>
      <w:marRight w:val="0"/>
      <w:marTop w:val="0"/>
      <w:marBottom w:val="0"/>
      <w:divBdr>
        <w:top w:val="none" w:sz="0" w:space="0" w:color="auto"/>
        <w:left w:val="none" w:sz="0" w:space="0" w:color="auto"/>
        <w:bottom w:val="none" w:sz="0" w:space="0" w:color="auto"/>
        <w:right w:val="none" w:sz="0" w:space="0" w:color="auto"/>
      </w:divBdr>
    </w:div>
    <w:div w:id="885484415">
      <w:bodyDiv w:val="1"/>
      <w:marLeft w:val="0"/>
      <w:marRight w:val="0"/>
      <w:marTop w:val="0"/>
      <w:marBottom w:val="0"/>
      <w:divBdr>
        <w:top w:val="none" w:sz="0" w:space="0" w:color="auto"/>
        <w:left w:val="none" w:sz="0" w:space="0" w:color="auto"/>
        <w:bottom w:val="none" w:sz="0" w:space="0" w:color="auto"/>
        <w:right w:val="none" w:sz="0" w:space="0" w:color="auto"/>
      </w:divBdr>
    </w:div>
    <w:div w:id="928005636">
      <w:bodyDiv w:val="1"/>
      <w:marLeft w:val="0"/>
      <w:marRight w:val="0"/>
      <w:marTop w:val="0"/>
      <w:marBottom w:val="0"/>
      <w:divBdr>
        <w:top w:val="none" w:sz="0" w:space="0" w:color="auto"/>
        <w:left w:val="none" w:sz="0" w:space="0" w:color="auto"/>
        <w:bottom w:val="none" w:sz="0" w:space="0" w:color="auto"/>
        <w:right w:val="none" w:sz="0" w:space="0" w:color="auto"/>
      </w:divBdr>
    </w:div>
    <w:div w:id="971907025">
      <w:bodyDiv w:val="1"/>
      <w:marLeft w:val="0"/>
      <w:marRight w:val="0"/>
      <w:marTop w:val="0"/>
      <w:marBottom w:val="0"/>
      <w:divBdr>
        <w:top w:val="none" w:sz="0" w:space="0" w:color="auto"/>
        <w:left w:val="none" w:sz="0" w:space="0" w:color="auto"/>
        <w:bottom w:val="none" w:sz="0" w:space="0" w:color="auto"/>
        <w:right w:val="none" w:sz="0" w:space="0" w:color="auto"/>
      </w:divBdr>
    </w:div>
    <w:div w:id="1154226570">
      <w:bodyDiv w:val="1"/>
      <w:marLeft w:val="0"/>
      <w:marRight w:val="0"/>
      <w:marTop w:val="0"/>
      <w:marBottom w:val="0"/>
      <w:divBdr>
        <w:top w:val="none" w:sz="0" w:space="0" w:color="auto"/>
        <w:left w:val="none" w:sz="0" w:space="0" w:color="auto"/>
        <w:bottom w:val="none" w:sz="0" w:space="0" w:color="auto"/>
        <w:right w:val="none" w:sz="0" w:space="0" w:color="auto"/>
      </w:divBdr>
    </w:div>
    <w:div w:id="1291012792">
      <w:bodyDiv w:val="1"/>
      <w:marLeft w:val="0"/>
      <w:marRight w:val="0"/>
      <w:marTop w:val="0"/>
      <w:marBottom w:val="0"/>
      <w:divBdr>
        <w:top w:val="none" w:sz="0" w:space="0" w:color="auto"/>
        <w:left w:val="none" w:sz="0" w:space="0" w:color="auto"/>
        <w:bottom w:val="none" w:sz="0" w:space="0" w:color="auto"/>
        <w:right w:val="none" w:sz="0" w:space="0" w:color="auto"/>
      </w:divBdr>
    </w:div>
    <w:div w:id="1330059036">
      <w:bodyDiv w:val="1"/>
      <w:marLeft w:val="0"/>
      <w:marRight w:val="0"/>
      <w:marTop w:val="0"/>
      <w:marBottom w:val="0"/>
      <w:divBdr>
        <w:top w:val="none" w:sz="0" w:space="0" w:color="auto"/>
        <w:left w:val="none" w:sz="0" w:space="0" w:color="auto"/>
        <w:bottom w:val="none" w:sz="0" w:space="0" w:color="auto"/>
        <w:right w:val="none" w:sz="0" w:space="0" w:color="auto"/>
      </w:divBdr>
      <w:divsChild>
        <w:div w:id="646321861">
          <w:marLeft w:val="547"/>
          <w:marRight w:val="0"/>
          <w:marTop w:val="0"/>
          <w:marBottom w:val="0"/>
          <w:divBdr>
            <w:top w:val="none" w:sz="0" w:space="0" w:color="auto"/>
            <w:left w:val="none" w:sz="0" w:space="0" w:color="auto"/>
            <w:bottom w:val="none" w:sz="0" w:space="0" w:color="auto"/>
            <w:right w:val="none" w:sz="0" w:space="0" w:color="auto"/>
          </w:divBdr>
        </w:div>
        <w:div w:id="1356493338">
          <w:marLeft w:val="547"/>
          <w:marRight w:val="0"/>
          <w:marTop w:val="0"/>
          <w:marBottom w:val="0"/>
          <w:divBdr>
            <w:top w:val="none" w:sz="0" w:space="0" w:color="auto"/>
            <w:left w:val="none" w:sz="0" w:space="0" w:color="auto"/>
            <w:bottom w:val="none" w:sz="0" w:space="0" w:color="auto"/>
            <w:right w:val="none" w:sz="0" w:space="0" w:color="auto"/>
          </w:divBdr>
        </w:div>
        <w:div w:id="417990494">
          <w:marLeft w:val="547"/>
          <w:marRight w:val="0"/>
          <w:marTop w:val="0"/>
          <w:marBottom w:val="0"/>
          <w:divBdr>
            <w:top w:val="none" w:sz="0" w:space="0" w:color="auto"/>
            <w:left w:val="none" w:sz="0" w:space="0" w:color="auto"/>
            <w:bottom w:val="none" w:sz="0" w:space="0" w:color="auto"/>
            <w:right w:val="none" w:sz="0" w:space="0" w:color="auto"/>
          </w:divBdr>
        </w:div>
        <w:div w:id="1354530370">
          <w:marLeft w:val="547"/>
          <w:marRight w:val="0"/>
          <w:marTop w:val="0"/>
          <w:marBottom w:val="0"/>
          <w:divBdr>
            <w:top w:val="none" w:sz="0" w:space="0" w:color="auto"/>
            <w:left w:val="none" w:sz="0" w:space="0" w:color="auto"/>
            <w:bottom w:val="none" w:sz="0" w:space="0" w:color="auto"/>
            <w:right w:val="none" w:sz="0" w:space="0" w:color="auto"/>
          </w:divBdr>
        </w:div>
        <w:div w:id="1640381003">
          <w:marLeft w:val="547"/>
          <w:marRight w:val="0"/>
          <w:marTop w:val="0"/>
          <w:marBottom w:val="0"/>
          <w:divBdr>
            <w:top w:val="none" w:sz="0" w:space="0" w:color="auto"/>
            <w:left w:val="none" w:sz="0" w:space="0" w:color="auto"/>
            <w:bottom w:val="none" w:sz="0" w:space="0" w:color="auto"/>
            <w:right w:val="none" w:sz="0" w:space="0" w:color="auto"/>
          </w:divBdr>
        </w:div>
        <w:div w:id="2055932027">
          <w:marLeft w:val="547"/>
          <w:marRight w:val="0"/>
          <w:marTop w:val="0"/>
          <w:marBottom w:val="0"/>
          <w:divBdr>
            <w:top w:val="none" w:sz="0" w:space="0" w:color="auto"/>
            <w:left w:val="none" w:sz="0" w:space="0" w:color="auto"/>
            <w:bottom w:val="none" w:sz="0" w:space="0" w:color="auto"/>
            <w:right w:val="none" w:sz="0" w:space="0" w:color="auto"/>
          </w:divBdr>
        </w:div>
        <w:div w:id="662390202">
          <w:marLeft w:val="547"/>
          <w:marRight w:val="0"/>
          <w:marTop w:val="0"/>
          <w:marBottom w:val="0"/>
          <w:divBdr>
            <w:top w:val="none" w:sz="0" w:space="0" w:color="auto"/>
            <w:left w:val="none" w:sz="0" w:space="0" w:color="auto"/>
            <w:bottom w:val="none" w:sz="0" w:space="0" w:color="auto"/>
            <w:right w:val="none" w:sz="0" w:space="0" w:color="auto"/>
          </w:divBdr>
        </w:div>
        <w:div w:id="667683366">
          <w:marLeft w:val="547"/>
          <w:marRight w:val="0"/>
          <w:marTop w:val="0"/>
          <w:marBottom w:val="0"/>
          <w:divBdr>
            <w:top w:val="none" w:sz="0" w:space="0" w:color="auto"/>
            <w:left w:val="none" w:sz="0" w:space="0" w:color="auto"/>
            <w:bottom w:val="none" w:sz="0" w:space="0" w:color="auto"/>
            <w:right w:val="none" w:sz="0" w:space="0" w:color="auto"/>
          </w:divBdr>
        </w:div>
      </w:divsChild>
    </w:div>
    <w:div w:id="1347752930">
      <w:bodyDiv w:val="1"/>
      <w:marLeft w:val="0"/>
      <w:marRight w:val="0"/>
      <w:marTop w:val="0"/>
      <w:marBottom w:val="0"/>
      <w:divBdr>
        <w:top w:val="none" w:sz="0" w:space="0" w:color="auto"/>
        <w:left w:val="none" w:sz="0" w:space="0" w:color="auto"/>
        <w:bottom w:val="none" w:sz="0" w:space="0" w:color="auto"/>
        <w:right w:val="none" w:sz="0" w:space="0" w:color="auto"/>
      </w:divBdr>
    </w:div>
    <w:div w:id="1387144782">
      <w:bodyDiv w:val="1"/>
      <w:marLeft w:val="0"/>
      <w:marRight w:val="0"/>
      <w:marTop w:val="0"/>
      <w:marBottom w:val="0"/>
      <w:divBdr>
        <w:top w:val="none" w:sz="0" w:space="0" w:color="auto"/>
        <w:left w:val="none" w:sz="0" w:space="0" w:color="auto"/>
        <w:bottom w:val="none" w:sz="0" w:space="0" w:color="auto"/>
        <w:right w:val="none" w:sz="0" w:space="0" w:color="auto"/>
      </w:divBdr>
    </w:div>
    <w:div w:id="1400136446">
      <w:bodyDiv w:val="1"/>
      <w:marLeft w:val="0"/>
      <w:marRight w:val="0"/>
      <w:marTop w:val="0"/>
      <w:marBottom w:val="0"/>
      <w:divBdr>
        <w:top w:val="none" w:sz="0" w:space="0" w:color="auto"/>
        <w:left w:val="none" w:sz="0" w:space="0" w:color="auto"/>
        <w:bottom w:val="none" w:sz="0" w:space="0" w:color="auto"/>
        <w:right w:val="none" w:sz="0" w:space="0" w:color="auto"/>
      </w:divBdr>
    </w:div>
    <w:div w:id="1455909317">
      <w:bodyDiv w:val="1"/>
      <w:marLeft w:val="0"/>
      <w:marRight w:val="0"/>
      <w:marTop w:val="0"/>
      <w:marBottom w:val="0"/>
      <w:divBdr>
        <w:top w:val="none" w:sz="0" w:space="0" w:color="auto"/>
        <w:left w:val="none" w:sz="0" w:space="0" w:color="auto"/>
        <w:bottom w:val="none" w:sz="0" w:space="0" w:color="auto"/>
        <w:right w:val="none" w:sz="0" w:space="0" w:color="auto"/>
      </w:divBdr>
    </w:div>
    <w:div w:id="1538933472">
      <w:bodyDiv w:val="1"/>
      <w:marLeft w:val="0"/>
      <w:marRight w:val="0"/>
      <w:marTop w:val="0"/>
      <w:marBottom w:val="0"/>
      <w:divBdr>
        <w:top w:val="none" w:sz="0" w:space="0" w:color="auto"/>
        <w:left w:val="none" w:sz="0" w:space="0" w:color="auto"/>
        <w:bottom w:val="none" w:sz="0" w:space="0" w:color="auto"/>
        <w:right w:val="none" w:sz="0" w:space="0" w:color="auto"/>
      </w:divBdr>
      <w:divsChild>
        <w:div w:id="881554585">
          <w:marLeft w:val="274"/>
          <w:marRight w:val="0"/>
          <w:marTop w:val="86"/>
          <w:marBottom w:val="0"/>
          <w:divBdr>
            <w:top w:val="none" w:sz="0" w:space="0" w:color="auto"/>
            <w:left w:val="none" w:sz="0" w:space="0" w:color="auto"/>
            <w:bottom w:val="none" w:sz="0" w:space="0" w:color="auto"/>
            <w:right w:val="none" w:sz="0" w:space="0" w:color="auto"/>
          </w:divBdr>
        </w:div>
        <w:div w:id="1329139653">
          <w:marLeft w:val="274"/>
          <w:marRight w:val="0"/>
          <w:marTop w:val="86"/>
          <w:marBottom w:val="0"/>
          <w:divBdr>
            <w:top w:val="none" w:sz="0" w:space="0" w:color="auto"/>
            <w:left w:val="none" w:sz="0" w:space="0" w:color="auto"/>
            <w:bottom w:val="none" w:sz="0" w:space="0" w:color="auto"/>
            <w:right w:val="none" w:sz="0" w:space="0" w:color="auto"/>
          </w:divBdr>
        </w:div>
        <w:div w:id="1781878271">
          <w:marLeft w:val="274"/>
          <w:marRight w:val="0"/>
          <w:marTop w:val="86"/>
          <w:marBottom w:val="0"/>
          <w:divBdr>
            <w:top w:val="none" w:sz="0" w:space="0" w:color="auto"/>
            <w:left w:val="none" w:sz="0" w:space="0" w:color="auto"/>
            <w:bottom w:val="none" w:sz="0" w:space="0" w:color="auto"/>
            <w:right w:val="none" w:sz="0" w:space="0" w:color="auto"/>
          </w:divBdr>
        </w:div>
      </w:divsChild>
    </w:div>
    <w:div w:id="1815097319">
      <w:bodyDiv w:val="1"/>
      <w:marLeft w:val="0"/>
      <w:marRight w:val="0"/>
      <w:marTop w:val="0"/>
      <w:marBottom w:val="0"/>
      <w:divBdr>
        <w:top w:val="none" w:sz="0" w:space="0" w:color="auto"/>
        <w:left w:val="none" w:sz="0" w:space="0" w:color="auto"/>
        <w:bottom w:val="none" w:sz="0" w:space="0" w:color="auto"/>
        <w:right w:val="none" w:sz="0" w:space="0" w:color="auto"/>
      </w:divBdr>
    </w:div>
    <w:div w:id="1883177802">
      <w:bodyDiv w:val="1"/>
      <w:marLeft w:val="0"/>
      <w:marRight w:val="0"/>
      <w:marTop w:val="0"/>
      <w:marBottom w:val="0"/>
      <w:divBdr>
        <w:top w:val="none" w:sz="0" w:space="0" w:color="auto"/>
        <w:left w:val="none" w:sz="0" w:space="0" w:color="auto"/>
        <w:bottom w:val="none" w:sz="0" w:space="0" w:color="auto"/>
        <w:right w:val="none" w:sz="0" w:space="0" w:color="auto"/>
      </w:divBdr>
    </w:div>
    <w:div w:id="1927299083">
      <w:bodyDiv w:val="1"/>
      <w:marLeft w:val="0"/>
      <w:marRight w:val="0"/>
      <w:marTop w:val="0"/>
      <w:marBottom w:val="0"/>
      <w:divBdr>
        <w:top w:val="none" w:sz="0" w:space="0" w:color="auto"/>
        <w:left w:val="none" w:sz="0" w:space="0" w:color="auto"/>
        <w:bottom w:val="none" w:sz="0" w:space="0" w:color="auto"/>
        <w:right w:val="none" w:sz="0" w:space="0" w:color="auto"/>
      </w:divBdr>
    </w:div>
    <w:div w:id="1943756330">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2006785033">
      <w:bodyDiv w:val="1"/>
      <w:marLeft w:val="0"/>
      <w:marRight w:val="0"/>
      <w:marTop w:val="0"/>
      <w:marBottom w:val="0"/>
      <w:divBdr>
        <w:top w:val="none" w:sz="0" w:space="0" w:color="auto"/>
        <w:left w:val="none" w:sz="0" w:space="0" w:color="auto"/>
        <w:bottom w:val="none" w:sz="0" w:space="0" w:color="auto"/>
        <w:right w:val="none" w:sz="0" w:space="0" w:color="auto"/>
      </w:divBdr>
    </w:div>
    <w:div w:id="2052611363">
      <w:bodyDiv w:val="1"/>
      <w:marLeft w:val="0"/>
      <w:marRight w:val="0"/>
      <w:marTop w:val="0"/>
      <w:marBottom w:val="0"/>
      <w:divBdr>
        <w:top w:val="none" w:sz="0" w:space="0" w:color="auto"/>
        <w:left w:val="none" w:sz="0" w:space="0" w:color="auto"/>
        <w:bottom w:val="none" w:sz="0" w:space="0" w:color="auto"/>
        <w:right w:val="none" w:sz="0" w:space="0" w:color="auto"/>
      </w:divBdr>
    </w:div>
    <w:div w:id="2066949252">
      <w:bodyDiv w:val="1"/>
      <w:marLeft w:val="0"/>
      <w:marRight w:val="0"/>
      <w:marTop w:val="0"/>
      <w:marBottom w:val="0"/>
      <w:divBdr>
        <w:top w:val="none" w:sz="0" w:space="0" w:color="auto"/>
        <w:left w:val="none" w:sz="0" w:space="0" w:color="auto"/>
        <w:bottom w:val="none" w:sz="0" w:space="0" w:color="auto"/>
        <w:right w:val="none" w:sz="0" w:space="0" w:color="auto"/>
      </w:divBdr>
    </w:div>
    <w:div w:id="2069914024">
      <w:bodyDiv w:val="1"/>
      <w:marLeft w:val="0"/>
      <w:marRight w:val="0"/>
      <w:marTop w:val="0"/>
      <w:marBottom w:val="0"/>
      <w:divBdr>
        <w:top w:val="none" w:sz="0" w:space="0" w:color="auto"/>
        <w:left w:val="none" w:sz="0" w:space="0" w:color="auto"/>
        <w:bottom w:val="none" w:sz="0" w:space="0" w:color="auto"/>
        <w:right w:val="none" w:sz="0" w:space="0" w:color="auto"/>
      </w:divBdr>
    </w:div>
    <w:div w:id="21203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ed.europa.eu" TargetMode="External"/><Relationship Id="rId18" Type="http://schemas.openxmlformats.org/officeDocument/2006/relationships/hyperlink" Target="http://ted.europa.eu" TargetMode="External"/><Relationship Id="rId26" Type="http://schemas.openxmlformats.org/officeDocument/2006/relationships/hyperlink" Target="https://github.com/eForms/eForms/blob/master/README.md" TargetMode="External"/><Relationship Id="rId3" Type="http://schemas.openxmlformats.org/officeDocument/2006/relationships/customXml" Target="../customXml/item3.xml"/><Relationship Id="rId21" Type="http://schemas.openxmlformats.org/officeDocument/2006/relationships/hyperlink" Target="https://op.europa.eu/en/web/eu-vocabularies/e-procurement/tables" TargetMode="External"/><Relationship Id="rId7" Type="http://schemas.openxmlformats.org/officeDocument/2006/relationships/settings" Target="settings.xml"/><Relationship Id="rId12" Type="http://schemas.openxmlformats.org/officeDocument/2006/relationships/hyperlink" Target="mailto:GROW-G4@ec.europea.eu" TargetMode="External"/><Relationship Id="rId17" Type="http://schemas.openxmlformats.org/officeDocument/2006/relationships/hyperlink" Target="https://publications.europa.eu" TargetMode="External"/><Relationship Id="rId25" Type="http://schemas.openxmlformats.org/officeDocument/2006/relationships/hyperlink" Target="https://github.com/eForms/eForms/blob/master/README.md"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imap.europa.eu/enotices/changeLanguage.do?language=en" TargetMode="External"/><Relationship Id="rId20" Type="http://schemas.openxmlformats.org/officeDocument/2006/relationships/hyperlink" Target="http://simap.ted.europa.eu/how-to-become-a-ted-esend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W-G4@ec.europea.e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C:\Users\rosaisa\AppData\Local\Microsoft\Windows\INetCache\Content.Outlook\085PWWON\esentool.ted.europa.eu" TargetMode="External"/><Relationship Id="rId23" Type="http://schemas.openxmlformats.org/officeDocument/2006/relationships/header" Target="header1.xm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imap.europa.eu/enotices/changeLanguage.do?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p.ted.europa.eu/how-to-become-a-ted-esender"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sa2/solutions/open-pm2_en" TargetMode="External"/><Relationship Id="rId13" Type="http://schemas.openxmlformats.org/officeDocument/2006/relationships/hyperlink" Target="https://www.open-contracting.org/resources/mythbusting-confidentiality-public-contracting/" TargetMode="External"/><Relationship Id="rId18" Type="http://schemas.openxmlformats.org/officeDocument/2006/relationships/hyperlink" Target="https://ec.europa.eu/sfc/en/2014/support-ms/gen/faq/what-does-cci-code-stand" TargetMode="External"/><Relationship Id="rId26" Type="http://schemas.openxmlformats.org/officeDocument/2006/relationships/hyperlink" Target="https://simap.ted.europa.eu/list-of-ted-esenders" TargetMode="External"/><Relationship Id="rId3" Type="http://schemas.openxmlformats.org/officeDocument/2006/relationships/hyperlink" Target="https://www.youtube.com/watch?v=umPzag0wbj8" TargetMode="External"/><Relationship Id="rId21" Type="http://schemas.openxmlformats.org/officeDocument/2006/relationships/hyperlink" Target="https://eur-lex.europa.eu/legal-content/EN/TXT/PDF/?uri=CELEX:02015L0849-20180709" TargetMode="External"/><Relationship Id="rId34" Type="http://schemas.openxmlformats.org/officeDocument/2006/relationships/hyperlink" Target="https://www.open-contracting.org/resources/mythbusting-confidentiality-public-contracting/" TargetMode="External"/><Relationship Id="rId7" Type="http://schemas.openxmlformats.org/officeDocument/2006/relationships/hyperlink" Target="https://eur-lex.europa.eu/legal-content/EN/ALL/?uri=CELEX%3A32009L0033" TargetMode="External"/><Relationship Id="rId12" Type="http://schemas.openxmlformats.org/officeDocument/2006/relationships/hyperlink" Target="https://www.cgdev.org/publication/principles-commercial-transparency-public-contracts" TargetMode="External"/><Relationship Id="rId17" Type="http://schemas.openxmlformats.org/officeDocument/2006/relationships/hyperlink" Target="https://www.gleif.org/en/about-lei/introducing-the-legal-entity-identifier-lei" TargetMode="External"/><Relationship Id="rId25" Type="http://schemas.openxmlformats.org/officeDocument/2006/relationships/hyperlink" Target="https://agilecontracts.org/" TargetMode="External"/><Relationship Id="rId33" Type="http://schemas.openxmlformats.org/officeDocument/2006/relationships/hyperlink" Target="https://www.cgdev.org/publication/principles-commercial-transparency-public-contracts" TargetMode="External"/><Relationship Id="rId2" Type="http://schemas.openxmlformats.org/officeDocument/2006/relationships/hyperlink" Target="http://ec.europa.eu/idabc/servlets/Docd552.pdf" TargetMode="External"/><Relationship Id="rId16" Type="http://schemas.openxmlformats.org/officeDocument/2006/relationships/hyperlink" Target="https://ec.europa.eu/cefdigital/wiki/display/CEFDIGITAL/Code+lists" TargetMode="External"/><Relationship Id="rId20" Type="http://schemas.openxmlformats.org/officeDocument/2006/relationships/hyperlink" Target="https://ec.europa.eu/cefdigital/wiki/display/CEFDIGITAL/Once+Only+Principle" TargetMode="External"/><Relationship Id="rId29" Type="http://schemas.openxmlformats.org/officeDocument/2006/relationships/hyperlink" Target="https://trade.ec.europa.eu/tradehelp/basic-rules" TargetMode="External"/><Relationship Id="rId1" Type="http://schemas.openxmlformats.org/officeDocument/2006/relationships/hyperlink" Target="file:///\\net1.cec.eu.int\homes\119\herchja\Desktop\Implementation%20Guidance\ted.europa.eu" TargetMode="External"/><Relationship Id="rId6" Type="http://schemas.openxmlformats.org/officeDocument/2006/relationships/hyperlink" Target="http://www.oecd.org/gov/ethics/analytics-for-integrity.pdf" TargetMode="External"/><Relationship Id="rId11" Type="http://schemas.openxmlformats.org/officeDocument/2006/relationships/hyperlink" Target="https://ec.europa.eu/digital-single-market/en/news/commission-notice-guidance-innovation-procurement-available-now-all-eu-languages" TargetMode="External"/><Relationship Id="rId24" Type="http://schemas.openxmlformats.org/officeDocument/2006/relationships/hyperlink" Target="https://joinup.ec.europa.eu/collection/eprocurement/open-standards-ict-procurement" TargetMode="External"/><Relationship Id="rId32" Type="http://schemas.openxmlformats.org/officeDocument/2006/relationships/hyperlink" Target="http://spendmatters.com/uk/ogc-flagging-i-said-flagging-the-contract-guidance/" TargetMode="External"/><Relationship Id="rId37" Type="http://schemas.openxmlformats.org/officeDocument/2006/relationships/hyperlink" Target="http://ec.europa.eu/eurostat/web/nuts/overview" TargetMode="External"/><Relationship Id="rId5" Type="http://schemas.openxmlformats.org/officeDocument/2006/relationships/hyperlink" Target="https://www.cambridge.org/core/journals/british-journal-of-political-science/article/uncovering-highlevel-corruption-crossnational-objective-corruption-risk-indicators-using-public-procurement-data/8A1742693965AA92BE4D2BA53EADFDF0" TargetMode="External"/><Relationship Id="rId15" Type="http://schemas.openxmlformats.org/officeDocument/2006/relationships/hyperlink" Target="https://www.iso.org/standard/25774.html" TargetMode="External"/><Relationship Id="rId23" Type="http://schemas.openxmlformats.org/officeDocument/2006/relationships/hyperlink" Target="https://playbook-ict-procurement.herokuapp.com/" TargetMode="External"/><Relationship Id="rId28" Type="http://schemas.openxmlformats.org/officeDocument/2006/relationships/hyperlink" Target="https://ec.europa.eu/inea/sites/inea/files/building_block_dsi-introdocument_edelivery_v1_00.pdf" TargetMode="External"/><Relationship Id="rId36" Type="http://schemas.openxmlformats.org/officeDocument/2006/relationships/hyperlink" Target="http://www.oecd.org/competition/cartels/42594486.pdf" TargetMode="External"/><Relationship Id="rId10" Type="http://schemas.openxmlformats.org/officeDocument/2006/relationships/hyperlink" Target="https://github.com/eForms/eForms/issues/81" TargetMode="External"/><Relationship Id="rId19" Type="http://schemas.openxmlformats.org/officeDocument/2006/relationships/hyperlink" Target="https://cohesiondata.ec.europa.eu/2014-2020/ESIF-2014-20-Programme-list-CCI-FUND/igzp-yde2/data" TargetMode="External"/><Relationship Id="rId31" Type="http://schemas.openxmlformats.org/officeDocument/2006/relationships/hyperlink" Target="http://ec.europa.eu/DocsRoom/documents/20354/attachments/1/translations/en/renditions/native" TargetMode="External"/><Relationship Id="rId4" Type="http://schemas.openxmlformats.org/officeDocument/2006/relationships/hyperlink" Target="http://data.europa.eu/euodp/en/data/" TargetMode="External"/><Relationship Id="rId9" Type="http://schemas.openxmlformats.org/officeDocument/2006/relationships/hyperlink" Target="https://github.com/eForms/eForms/issues/169" TargetMode="External"/><Relationship Id="rId14" Type="http://schemas.openxmlformats.org/officeDocument/2006/relationships/hyperlink" Target="https://github.com/eForms/eForms/issues/159" TargetMode="External"/><Relationship Id="rId22" Type="http://schemas.openxmlformats.org/officeDocument/2006/relationships/hyperlink" Target="https://joinup.ec.europa.eu/sites/default/files/document/2015-03/guideline_on_procuring_it_solutions_-_v1_00.pdf" TargetMode="External"/><Relationship Id="rId27" Type="http://schemas.openxmlformats.org/officeDocument/2006/relationships/hyperlink" Target="https://ec.europa.eu/docsroom/documents/35142/attachments/1/translations/en/renditions/native" TargetMode="External"/><Relationship Id="rId30" Type="http://schemas.openxmlformats.org/officeDocument/2006/relationships/hyperlink" Target="https://en.wikipedia.org/wiki/Country_of_origin" TargetMode="External"/><Relationship Id="rId35" Type="http://schemas.openxmlformats.org/officeDocument/2006/relationships/hyperlink" Target="https://op.europa.eu/en/web/eu-vocabularies/e-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b33a0e9d-4253-41b5-a318-d14d5a5e38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4E05352C40F144B1AEEBC212D46B67" ma:contentTypeVersion="6" ma:contentTypeDescription="Create a new document." ma:contentTypeScope="" ma:versionID="230f21b17bc72489e2438d0115e5ca90">
  <xsd:schema xmlns:xsd="http://www.w3.org/2001/XMLSchema" xmlns:xs="http://www.w3.org/2001/XMLSchema" xmlns:p="http://schemas.microsoft.com/office/2006/metadata/properties" xmlns:ns2="b33a0e9d-4253-41b5-a318-d14d5a5e383c" targetNamespace="http://schemas.microsoft.com/office/2006/metadata/properties" ma:root="true" ma:fieldsID="23b33e36219bb3363e211c1bc9c9ffc8" ns2:_="">
    <xsd:import namespace="b33a0e9d-4253-41b5-a318-d14d5a5e383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0e9d-4253-41b5-a318-d14d5a5e383c" elementFormDefault="qualified">
    <xsd:import namespace="http://schemas.microsoft.com/office/2006/documentManagement/types"/>
    <xsd:import namespace="http://schemas.microsoft.com/office/infopath/2007/PartnerControls"/>
    <xsd:element name="Category" ma:index="10" nillable="true" ma:displayName="Category" ma:list="{8a7e155a-d18a-44a6-97e7-94dcc41d1704}" ma:internalName="Category" ma:showField="Title" ma:web="0be604ac-4ae5-454f-b8cb-86fed942941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6B1A05-CF2F-4519-81B8-737D16C16267}">
  <ds:schemaRefs>
    <ds:schemaRef ds:uri="http://schemas.microsoft.com/sharepoint/v3/contenttype/forms"/>
  </ds:schemaRefs>
</ds:datastoreItem>
</file>

<file path=customXml/itemProps2.xml><?xml version="1.0" encoding="utf-8"?>
<ds:datastoreItem xmlns:ds="http://schemas.openxmlformats.org/officeDocument/2006/customXml" ds:itemID="{4097A967-0085-4048-8163-2C7033B829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33a0e9d-4253-41b5-a318-d14d5a5e383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01609B6-A84F-403F-B7F5-446AEA703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a0e9d-4253-41b5-a318-d14d5a5e3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61BD3-99C0-4B47-8E20-4C1F8FE9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22474</Words>
  <Characters>124956</Characters>
  <Application>Microsoft Office Word</Application>
  <DocSecurity>4</DocSecurity>
  <Lines>3047</Lines>
  <Paragraphs>1228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146202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HERCHER Jachym (GROW)</dc:creator>
  <cp:keywords/>
  <dc:description/>
  <cp:lastModifiedBy>BLANCHARD David (GROW)</cp:lastModifiedBy>
  <cp:revision>2</cp:revision>
  <cp:lastPrinted>2019-11-22T16:26:00Z</cp:lastPrinted>
  <dcterms:created xsi:type="dcterms:W3CDTF">2019-12-20T17:40:00Z</dcterms:created>
  <dcterms:modified xsi:type="dcterms:W3CDTF">2019-12-20T17:40:00Z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0x010100B74E05352C40F144B1AEEBC212D46B67</vt:lpwstr>
  </property>
  <property fmtid="{D5CDD505-2E9C-101B-9397-08002B2CF9AE}" pid="4" name="_NewReviewCycle">
    <vt:lpwstr/>
  </property>
</Properties>
</file>